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2.1.1.1. Điều kiện về văn bằng đại học</w:t>
      </w:r>
    </w:p>
    <w:p>
      <w:pPr>
        <w:pStyle w:val="ListParagraph"/>
      </w:pPr>
      <w:r>
        <w:t xml:space="preserve">Đã tốt nghiệp hoặc đã đủ điều kiện công nhận tốt nghiệp đại học (hoặc trình độ tương đương trở lên) ngành phù hợp với chuyên ngành đăng ký dự tuyển tương ứng;  </w:t>
      </w:r>
    </w:p>
    <w:p>
      <w:pPr>
        <w:pStyle w:val="ListParagraph"/>
      </w:pPr>
      <w:r>
        <w:t xml:space="preserve">Người đã tốt nghiệp đại học ngành/chuyên ngành gần  với chuyên ngành đăng ký dự tuyển phải học Bổ sung kiến thức trước khi dự tuyển.  </w:t>
      </w:r>
    </w:p>
    <w:p>
      <w:pPr>
        <w:pStyle w:val="ListParagraph"/>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pPr>
        <w:pStyle w:val="ListParagraph"/>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