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 ĐIỀU KIỆN TUYỂN SINH</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c. Phương thức xét tuyển kết hợp</w:t>
      </w:r>
    </w:p>
    <w:p>
      <w:pPr>
        <w:pStyle w:val="Normal"/>
      </w:pPr>
      <w:r>
        <w:t>Đối với phương thức xét tuyển kết hợp thì ngoài các yêu cầu theo quy định chung ở mục a) thì thí sinh cần có thêm một trong các điều kiện sau đây:</w:t>
      </w:r>
    </w:p>
    <w:p>
      <w:pPr>
        <w:pStyle w:val="ListParagraph"/>
      </w:pPr>
      <w:r>
        <w:t>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w:t>
      </w:r>
    </w:p>
    <w:p>
      <w:pPr>
        <w:pStyle w:val="ListParagraph"/>
      </w:pPr>
      <w:r>
        <w:t>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w:t>
      </w:r>
    </w:p>
    <w:p>
      <w:pPr>
        <w:pStyle w:val="ListParagraph"/>
      </w:pPr>
      <w:r>
        <w:t>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Heading3"/>
      </w:pPr>
      <w:r>
        <w:t>d. Phương thức  xét tuyển dựa vào kết quả bài thi đánh giá năng lực hoặc đánh giá tư duy</w:t>
      </w:r>
    </w:p>
    <w:p>
      <w:pPr>
        <w:pStyle w:val="Normal"/>
      </w:pPr>
      <w:r>
        <w:t>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