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2.4. Ngoại ngữ Tiếng Anh</w:t>
      </w:r>
    </w:p>
    <w:p>
      <w:pPr>
        <w:pStyle w:val="ListParagraph"/>
      </w:pPr>
      <w:r>
        <w:t>Đạt trình độ tiếng Anh 450 điểm TOEIC quốc tế hoặc tương đương;</w:t>
      </w:r>
    </w:p>
    <w:p>
      <w:pPr>
        <w:pStyle w:val="ListParagraph"/>
      </w:pPr>
      <w:r>
        <w:t>Có khả năng sử dụng tiếng Anh phục vụ họ c tập, nghiên cứu, hoà nhập nhanh với cộng đồng công nghệ thông tin khu vực và quốc tế sau khi ra trường.</w:t>
      </w:r>
    </w:p>
    <w:p>
      <w:pPr>
        <w:pStyle w:val="ListParagraph"/>
      </w:pPr>
      <w:r>
        <w:t>Có khả năng sử dụng tiếng Anh tốt trong các hoạt động liên quan đến nghề nghiệp được đào tạo.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