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4.2.3.3. Thực tập tốt nghiệp</w:t>
      </w:r>
    </w:p>
    <w:p>
      <w:pPr>
        <w:pStyle w:val="ListParagraph"/>
      </w:pPr>
      <w:r>
        <w:t>Thực tập tốt nghiệp (6TC) và Đồ án tốt nghiệp (6TC) hoặc các học phần thay thế tốt nghiệp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