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4.2.3. Khối kiến thức giáo dục chuyên nghiệp 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Phát triển ứng dụng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Thiết kế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4.2.3.3.  Thực hành chuyên sâu </w:t>
      </w:r>
    </w:p>
    <w:p>
      <w:pPr>
        <w:pStyle w:val="ListParagraph"/>
      </w:pPr>
      <w:r>
        <w:t xml:space="preserve">Thực hành chuyên sâu (MUL1482):    4TC  </w:t>
      </w:r>
    </w:p>
    <w:p>
      <w:pPr>
        <w:pStyle w:val="Heading6"/>
      </w:pPr>
      <w:r>
        <w:t xml:space="preserve">4.2.3.4. 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nghiệp.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