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4.2. Nội dung chương trình  </w:t>
      </w:r>
    </w:p>
    <w:p>
      <w:pPr>
        <w:pStyle w:val="Heading5"/>
      </w:pPr>
      <w:r>
        <w:t xml:space="preserve">4.2.1. Khối kiến thức chung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 kiện để đăng ký học học phần tiếng Anh Course 1 trong chương trình là sinh viên phải đạt trình độ tiếng Anh từ 150 điểm theo bài thì TOEIC Placement test trở lên; các thí sinh chưa đạt mức điểm trên sẽ phải hoàn thành học phần tiếng Anh bổ trợ Course 0 (mã BAS1156).  </w:t>
      </w:r>
    </w:p>
    <w:p>
      <w:pPr>
        <w:pStyle w:val="Normal"/>
      </w:pPr>
    </w:p>
    <w:p>
      <w:pPr>
        <w:pStyle w:val="Heading5"/>
      </w:pPr>
      <w:r>
        <w:t xml:space="preserve">4.2.2.  Khối kiến thức cơ bản nhóm ngành   </w:t>
      </w:r>
    </w:p>
    <w:p>
      <w:pPr>
        <w:pStyle w:val="Normal"/>
      </w:pPr>
    </w:p>
    <w:p>
      <w:pPr>
        <w:pStyle w:val="Normal"/>
      </w:pPr>
    </w:p>
    <w:p>
      <w:pPr>
        <w:pStyle w:val="Heading5"/>
      </w:pPr>
      <w:r>
        <w:t xml:space="preserve">4.2.3. Khối kiến thức giáo dục chuyên nghiệp   </w:t>
      </w:r>
    </w:p>
    <w:p>
      <w:pPr>
        <w:pStyle w:val="Heading6"/>
      </w:pPr>
      <w:r>
        <w:t xml:space="preserve">4.2.3.1.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4.2.3.2. Kiến thức chuyên ngành  </w:t>
      </w:r>
    </w:p>
    <w:p>
      <w:pPr>
        <w:pStyle w:val="Heading7"/>
      </w:pPr>
      <w:r>
        <w:t xml:space="preserve">Chuyên ngành Phát triển ứng dụng đa phương tiện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Thiết kế đa phương tiện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4.2.3.3.  Thực hành chuyên sâu </w:t>
      </w:r>
    </w:p>
    <w:p>
      <w:pPr>
        <w:pStyle w:val="ListParagraph"/>
      </w:pPr>
      <w:r>
        <w:t xml:space="preserve">Thực hành chuyên sâu (MUL1482):    4TC  </w:t>
      </w:r>
    </w:p>
    <w:p>
      <w:pPr>
        <w:pStyle w:val="Heading6"/>
      </w:pPr>
      <w:r>
        <w:t xml:space="preserve">4.2.3.4.  Thực tập tốt nghiệp </w:t>
      </w:r>
    </w:p>
    <w:p>
      <w:pPr>
        <w:pStyle w:val="ListParagraph"/>
      </w:pPr>
      <w:r>
        <w:t xml:space="preserve">Thực tập tốt nghiệp (6TC) và Đồ án tốt nghiệp (6TC) hoặc các học phần thay thế tốt nghiệp.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