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2.5. Ngoại ngữ Tiếng Anh  </w:t>
      </w:r>
    </w:p>
    <w:p>
      <w:pPr>
        <w:pStyle w:val="ListParagraph"/>
      </w:pPr>
      <w:r>
        <w:t xml:space="preserve">Đạt trình đ ộ tiếng Anh 450 đi ểm TOEIC qu ốc tế hoặc tương đương;  </w:t>
      </w:r>
    </w:p>
    <w:p>
      <w:pPr>
        <w:pStyle w:val="ListParagraph"/>
      </w:pPr>
      <w:r>
        <w:t xml:space="preserve">Có khả năng s ử dụng tiếng Anh ph ục vụ học tập, nghiên cứu, hòa nhập nhanh với cộng đồng IoT khu v ực và Quốc tế sau khi ra trường; </w:t>
      </w:r>
    </w:p>
    <w:p>
      <w:pPr>
        <w:pStyle w:val="ListParagraph"/>
      </w:pPr>
      <w:r>
        <w:t xml:space="preserve">Đảm bảo khả năng s ử dụng tiếng Anh thành thạo với các kỹ năng nghe, nói, đọc, viết; kỹ năng s ử dụng tiếng Anh chuyên ngành trong nghiên cứu, trao đ ổi học thuật và trong công việc một cách có hiệu quả nhất.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