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4.1 Cấu trúc chương trình  </w:t>
      </w:r>
    </w:p>
    <w:p>
      <w:pPr>
        <w:pStyle w:val="ListParagraph"/>
      </w:pPr>
      <w:r>
        <w:t xml:space="preserve">Khối kiến thức giáo dục đại cương:  56 tín chỉ </w:t>
      </w:r>
    </w:p>
    <w:p>
      <w:pPr>
        <w:pStyle w:val="ListParagraph"/>
      </w:pPr>
      <w:r>
        <w:t xml:space="preserve">Khối kiến thức giáo dục chuyên nghiệp:  81 tín chỉ  trong đó:   </w:t>
      </w:r>
    </w:p>
    <w:p>
      <w:pPr>
        <w:pStyle w:val="ListParagraph"/>
      </w:pPr>
      <w:r>
        <w:t xml:space="preserve">Kiến thức cơ sở ngành:  40 tín chỉ </w:t>
      </w:r>
    </w:p>
    <w:p>
      <w:pPr>
        <w:pStyle w:val="ListParagraph"/>
      </w:pPr>
      <w:r>
        <w:t xml:space="preserve">Kiến thức ngành và chuyên ngành:  41 tín chỉ </w:t>
      </w:r>
    </w:p>
    <w:p>
      <w:pPr>
        <w:pStyle w:val="ListParagraph"/>
      </w:pPr>
      <w:r>
        <w:t xml:space="preserve">Thực hành chuyên sâu : 02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151 tín chỉ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