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4. CHƯƠNG TRÌNH ĐÀO TẠO  </w:t>
      </w:r>
    </w:p>
    <w:p>
      <w:pPr>
        <w:pStyle w:val="Normal"/>
      </w:pPr>
      <w:r>
        <w:t xml:space="preserve">KHỐI LƯỢNG KIẾN THỨC TOÀN KHÓA: 151 tín chỉ  (không bao gồm Giáo dục thể chất, Giáo dục quốc phòng và Kỹ năng mềm)  </w:t>
      </w:r>
    </w:p>
    <w:p>
      <w:pPr>
        <w:pStyle w:val="Normal"/>
      </w:pPr>
    </w:p>
    <w:p>
      <w:pPr>
        <w:pStyle w:val="Heading3"/>
      </w:pPr>
      <w:r>
        <w:t xml:space="preserve">NỘI DUNG CHƯƠNG TRÌNH  </w:t>
      </w:r>
    </w:p>
    <w:p>
      <w:pPr>
        <w:pStyle w:val="Heading4"/>
      </w:pPr>
      <w:r>
        <w:t xml:space="preserve">4.1 Cấu trúc chương trình  </w:t>
      </w:r>
    </w:p>
    <w:p>
      <w:pPr>
        <w:pStyle w:val="ListParagraph"/>
      </w:pPr>
      <w:r>
        <w:t xml:space="preserve">Khối kiến thức giáo dục đại cương:  56 tín chỉ </w:t>
      </w:r>
    </w:p>
    <w:p>
      <w:pPr>
        <w:pStyle w:val="ListParagraph"/>
      </w:pPr>
      <w:r>
        <w:t xml:space="preserve">Khối kiến thức giáo dục chuyên nghiệp:  81 tín chỉ  trong đó:   </w:t>
      </w:r>
    </w:p>
    <w:p>
      <w:pPr>
        <w:pStyle w:val="ListParagraph"/>
      </w:pPr>
      <w:r>
        <w:t xml:space="preserve">Kiến thức cơ sở ngành:  40 tín chỉ </w:t>
      </w:r>
    </w:p>
    <w:p>
      <w:pPr>
        <w:pStyle w:val="ListParagraph"/>
      </w:pPr>
      <w:r>
        <w:t xml:space="preserve">Kiến thức ngành và chuyên ngành:  41 tín chỉ </w:t>
      </w:r>
    </w:p>
    <w:p>
      <w:pPr>
        <w:pStyle w:val="ListParagraph"/>
      </w:pPr>
      <w:r>
        <w:t xml:space="preserve">Thực hành chuyên sâu : 02 tín chỉ </w:t>
      </w:r>
    </w:p>
    <w:p>
      <w:pPr>
        <w:pStyle w:val="ListParagraph"/>
      </w:pPr>
      <w:r>
        <w:t xml:space="preserve">Thực tập và Tốt nghiệp:  12 tín chỉ </w:t>
      </w:r>
    </w:p>
    <w:p>
      <w:pPr>
        <w:pStyle w:val="ListParagraph"/>
      </w:pPr>
      <w:r>
        <w:t>Tổng cộng:  151 tín chỉ</w:t>
      </w:r>
    </w:p>
    <w:p>
      <w:pPr>
        <w:pStyle w:val="Normal"/>
      </w:pPr>
      <w:r>
        <w:t xml:space="preserve"> </w:t>
      </w:r>
    </w:p>
    <w:p>
      <w:pPr>
        <w:pStyle w:val="Heading4"/>
      </w:pPr>
      <w:r>
        <w:t xml:space="preserve">4.2 Nội dung chương trình  </w:t>
      </w:r>
    </w:p>
    <w:p>
      <w:pPr>
        <w:pStyle w:val="Heading5"/>
      </w:pPr>
      <w:r>
        <w:t xml:space="preserve">4.2.1 Khối kiến thức chung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ListParagraph"/>
      </w:pPr>
      <w:r>
        <w:t xml:space="preserve">Điều kiện để đăng ký học phần tiếng Anh Course 1 trong chương trình là sinh viên phải đạt trình độ tiếng Anh từ 225 điểm theo bài thi TOEIC Placement test trở lên; các thí sinh chưa đạt mức điểm trên sẽ phải hoàn thành học phần tiếng Anh bổ trợ Course 0 (mã BAS 1156)  </w:t>
      </w:r>
    </w:p>
    <w:p>
      <w:pPr>
        <w:pStyle w:val="Normal"/>
      </w:pPr>
    </w:p>
    <w:p>
      <w:pPr>
        <w:pStyle w:val="Heading5"/>
      </w:pPr>
      <w:r>
        <w:t xml:space="preserve">4.2.2 Kiến thức cơ bản nhóm ngành 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5"/>
      </w:pPr>
      <w:r>
        <w:t xml:space="preserve">4.2.3 Khối kiến thức giáo dục chuyên nghiệp  </w:t>
      </w:r>
    </w:p>
    <w:p>
      <w:pPr>
        <w:pStyle w:val="Heading6"/>
      </w:pPr>
      <w:r>
        <w:t xml:space="preserve">4.2.3.1 Kiến thức cơ sở ngành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6"/>
      </w:pPr>
      <w:r>
        <w:t xml:space="preserve">4.2.3.2 Kiến thức ngành và chuyên ngành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Heading5"/>
      </w:pPr>
      <w:r>
        <w:t xml:space="preserve">4.2.4 Thực hành chuyên sâu  </w:t>
      </w:r>
    </w:p>
    <w:p>
      <w:pPr>
        <w:pStyle w:val="Normal"/>
      </w:pPr>
    </w:p>
    <w:p>
      <w:pPr>
        <w:pStyle w:val="Normal"/>
      </w:pPr>
    </w:p>
    <w:p>
      <w:pPr>
        <w:pStyle w:val="Heading5"/>
      </w:pPr>
      <w:r>
        <w:t xml:space="preserve">4.2.5 Thực tập tốt nghiệp </w:t>
      </w:r>
    </w:p>
    <w:p>
      <w:pPr>
        <w:pStyle w:val="ListParagraph"/>
      </w:pPr>
      <w:r>
        <w:t xml:space="preserve">Thực tập tốt nghiệp (6 TC) và Đồ án tốt nghiệp hoặc học phần thay thế tốt nghiệp (6 TC).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