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 xml:space="preserve">4.1 Cấu trúc chương trình  </w:t>
      </w:r>
    </w:p>
    <w:p>
      <w:pPr>
        <w:pStyle w:val="ListParagraph"/>
      </w:pPr>
      <w:r>
        <w:t xml:space="preserve">Khối kiến thức giáo dục đại cương:  56 tín chỉ </w:t>
      </w:r>
    </w:p>
    <w:p>
      <w:pPr>
        <w:pStyle w:val="ListParagraph"/>
      </w:pPr>
      <w:r>
        <w:t xml:space="preserve">Khối kiến thức giáo dục chuyên nghiệp:  81 tín chỉ  trong đó:   </w:t>
      </w:r>
    </w:p>
    <w:p>
      <w:pPr>
        <w:pStyle w:val="ListParagraph"/>
      </w:pPr>
      <w:r>
        <w:t xml:space="preserve">Kiến thức cơ sở ngành:  40 tín chỉ </w:t>
      </w:r>
    </w:p>
    <w:p>
      <w:pPr>
        <w:pStyle w:val="ListParagraph"/>
      </w:pPr>
      <w:r>
        <w:t xml:space="preserve">Kiến thức ngành và chuyên ngành:  41 tín chỉ </w:t>
      </w:r>
    </w:p>
    <w:p>
      <w:pPr>
        <w:pStyle w:val="ListParagraph"/>
      </w:pPr>
      <w:r>
        <w:t xml:space="preserve">Thực hành chuyên sâu : 02 tín chỉ </w:t>
      </w:r>
    </w:p>
    <w:p>
      <w:pPr>
        <w:pStyle w:val="ListParagraph"/>
      </w:pPr>
      <w:r>
        <w:t xml:space="preserve">Thực tập và Tốt nghiệp:  12 tín chỉ </w:t>
      </w:r>
    </w:p>
    <w:p>
      <w:pPr>
        <w:pStyle w:val="ListParagraph"/>
      </w:pPr>
      <w:r>
        <w:t>Tổng cộng:  151 tín chỉ</w:t>
      </w:r>
    </w:p>
    <w:p>
      <w:pPr>
        <w:pStyle w:val="Normal"/>
      </w:pPr>
      <w:r>
        <w:t xml:space="preserve"> </w:t>
      </w:r>
    </w:p>
    <w:p>
      <w:pPr>
        <w:pStyle w:val="Heading4"/>
      </w:pPr>
      <w:r>
        <w:t xml:space="preserve">4.2 Nội dung chương trình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0 (mã BAS 1156)  </w:t>
      </w:r>
    </w:p>
    <w:p>
      <w:pPr>
        <w:pStyle w:val="Normal"/>
      </w:pPr>
    </w:p>
    <w:p>
      <w:pPr>
        <w:pStyle w:val="Heading5"/>
      </w:pPr>
      <w:r>
        <w:t xml:space="preserve">4.2.2 Kiến thức cơ bản nhóm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 Kiến thức ngành và chuyên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Heading5"/>
      </w:pPr>
      <w:r>
        <w:t xml:space="preserve">4.2.4 Thực hành chuyên sâu  </w:t>
      </w:r>
    </w:p>
    <w:p>
      <w:pPr>
        <w:pStyle w:val="Normal"/>
      </w:pPr>
    </w:p>
    <w:p>
      <w:pPr>
        <w:pStyle w:val="Normal"/>
      </w:pPr>
    </w:p>
    <w:p>
      <w:pPr>
        <w:pStyle w:val="Heading5"/>
      </w:pPr>
      <w:r>
        <w:t xml:space="preserve">4.2.5 Thực tập tốt nghiệp </w:t>
      </w:r>
    </w:p>
    <w:p>
      <w:pPr>
        <w:pStyle w:val="ListParagraph"/>
      </w:pPr>
      <w:r>
        <w:t xml:space="preserve">Thực tập tốt nghiệp (6 TC) và Đồ án tốt nghiệp hoặc học phần thay thế tốt nghiệp (6 TC).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