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Kiến thức  </w:t>
      </w:r>
    </w:p>
    <w:p>
      <w:pPr>
        <w:pStyle w:val="Normal"/>
      </w:pPr>
      <w:r>
        <w:t xml:space="preserve">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pPr>
        <w:pStyle w:val="ListParagraph"/>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pPr>
        <w:pStyle w:val="ListParagraph"/>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pPr>
        <w:pStyle w:val="ListParagraph"/>
      </w:pPr>
      <w:r>
        <w:t xml:space="preserve">thông tin ...); Điện tử công nghiệp và tự động hóa, Kỹ thuật Robot công nghiệp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