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mềm  </w:t>
      </w:r>
    </w:p>
    <w:p>
      <w:pPr>
        <w:pStyle w:val="ListParagraph"/>
      </w:pPr>
      <w:r>
        <w:t xml:space="preserve">Có kỹ năng giao tiếp và thuyết trình tốt thể hiện qua việc trình bày rõ ràng, tự tin và thuyết phục các vấn đề liên quan đến chuyên môn và các vấn đề kinh tế xã hội; </w:t>
      </w:r>
    </w:p>
    <w:p>
      <w:pPr>
        <w:pStyle w:val="ListParagraph"/>
      </w:pPr>
      <w:r>
        <w:t xml:space="preserve">Có 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p>
      <w:pPr>
        <w:pStyle w:val="ListParagraph"/>
      </w:pPr>
      <w:r>
        <w:t xml:space="preserve">Có phương pháp làm việc khoa học và chuyên nghiệ p, tư duy hệ thống và tư duy phân tích và làm việc hiệu quả trong nhóm (đa ngành), hội nhập được trong môi trường quốc tế.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