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Cấu trúc khối kiến thức của chương trình              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>Kiến thức giáo dục chuyên nghiệp: 83 tín chỉ trong đó:</w:t>
      </w:r>
    </w:p>
    <w:p>
      <w:pPr>
        <w:pStyle w:val="ListParagraph"/>
      </w:pPr>
      <w:r>
        <w:t xml:space="preserve">Kiến thức cơ sở của khối ngành và ngành: 46 tín chỉ </w:t>
      </w:r>
    </w:p>
    <w:p>
      <w:pPr>
        <w:pStyle w:val="ListParagraph"/>
      </w:pPr>
      <w:r>
        <w:t xml:space="preserve">Kiến thức chuyên ngành: 37 tín chỉ </w:t>
      </w:r>
    </w:p>
    <w:p>
      <w:pPr>
        <w:pStyle w:val="ListParagraph"/>
      </w:pPr>
      <w:r>
        <w:t xml:space="preserve">Thực hành chuyên sâu: 2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>Tổng cộng: 150 tín chỉ</w:t>
      </w:r>
    </w:p>
    <w:p>
      <w:pPr>
        <w:pStyle w:val="ListParagraph"/>
      </w:pP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4.2.3.2. Kiến thức chuyên ngành</w:t>
      </w:r>
    </w:p>
    <w:p>
      <w:pPr>
        <w:pStyle w:val="Normal"/>
      </w:pPr>
    </w:p>
    <w:p>
      <w:pPr>
        <w:pStyle w:val="Heading7"/>
      </w:pPr>
      <w:r>
        <w:t xml:space="preserve">Chuyên ngành Kỹ thuật điện tử máy tính   </w:t>
      </w:r>
    </w:p>
    <w:p>
      <w:pPr>
        <w:pStyle w:val="Normal"/>
      </w:pPr>
    </w:p>
    <w:p>
      <w:pPr>
        <w:pStyle w:val="Heading7"/>
      </w:pPr>
      <w:r>
        <w:t xml:space="preserve">Chuyên ngành Xử lý tín hiệu và truyền thông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Kỹ thuật rô bốt Robotics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hành chuyên sâu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4.2.3.4. Môn học thay thế tốt nghiệp  (chọn  2 trong 2 học phần)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4.2.3.5.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