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c. Chuyên ngành Robotic  </w:t>
      </w:r>
    </w:p>
    <w:p>
      <w:pPr>
        <w:pStyle w:val="ListParagraph"/>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pPr>
        <w:pStyle w:val="ListParagraph"/>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pPr>
        <w:pStyle w:val="ListParagraph"/>
      </w:pPr>
      <w:r>
        <w:t xml:space="preserve">Có tư duy phát triển ứng dụng các thiết bị điện - điện tử theo hướng tiếp cận các xu thế mới như: Internet vạn vật (IoT), Big Data, Học máy …;   </w:t>
      </w:r>
    </w:p>
    <w:p>
      <w:pPr>
        <w:pStyle w:val="ListParagraph"/>
      </w:pPr>
      <w:r>
        <w:t xml:space="preserve">Hiểu biế t về linh kiện, cụm linh kiện, nguyên tắc an toàn điện trong các hệ thống, bảng mạch điện – điện tử, robotics;  </w:t>
      </w:r>
    </w:p>
    <w:p>
      <w:pPr>
        <w:pStyle w:val="ListParagraph"/>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