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4.2.3 Khối kiến thức giáo dục chuyên nghiệp  </w:t>
      </w:r>
    </w:p>
    <w:p>
      <w:pPr>
        <w:pStyle w:val="Heading6"/>
      </w:pPr>
      <w:r>
        <w:t xml:space="preserve">4.2.3.1. Kiến thức cơ sở ngành  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Heading6"/>
      </w:pPr>
      <w:r>
        <w:t xml:space="preserve">4.2.3.2. Kiến thức chuyên ngành  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Heading6"/>
      </w:pPr>
      <w:r>
        <w:t>4.2.3.3. Thực tập tốt nghiệp</w:t>
      </w:r>
    </w:p>
    <w:p>
      <w:pPr>
        <w:pStyle w:val="ListParagraph"/>
      </w:pPr>
      <w:r>
        <w:t xml:space="preserve">Thực tập tốt nghiệp (4 TC) và Khóa luận tốt nghiệp (6 TC) hoặc học phần thay thế tốt nghiệp  </w:t>
      </w:r>
    </w:p>
    <w:p>
      <w:pPr>
        <w:pStyle w:val="Normal"/>
      </w:pPr>
    </w:p>
    <w:p>
      <w:pPr>
        <w:pStyle w:val="Normal"/>
      </w:pP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