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50 tín chỉ  </w:t>
      </w:r>
    </w:p>
    <w:p>
      <w:pPr>
        <w:pStyle w:val="ListParagraph"/>
      </w:pPr>
      <w:r>
        <w:t xml:space="preserve">Kiến thức giáo dục chuyên nghiệp: 88 tín chỉ trong đó: </w:t>
      </w:r>
    </w:p>
    <w:p>
      <w:pPr>
        <w:pStyle w:val="ListParagraph"/>
      </w:pPr>
      <w:r>
        <w:t xml:space="preserve">Kiến thức cơ sở của khối ngành và ngành:  55 tín chỉ </w:t>
      </w:r>
    </w:p>
    <w:p>
      <w:pPr>
        <w:pStyle w:val="ListParagraph"/>
      </w:pPr>
      <w:r>
        <w:t>Kiến thức chuyên ngành:  33 tín chỉ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4.2.3.3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