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6. VỊ TRÍ LÀM VIỆC SAU KHI TỐT NGHIỆP  </w:t>
      </w:r>
    </w:p>
    <w:p>
      <w:pPr>
        <w:pStyle w:val="Normal"/>
      </w:pPr>
      <w:r>
        <w:t xml:space="preserve">Sau khi tốt nghiệp sinh viên có đủ năng lực để đảm nhận các vị trí công việc sau:  </w:t>
      </w:r>
    </w:p>
    <w:p>
      <w:pPr>
        <w:pStyle w:val="ListParagraph"/>
      </w:pPr>
      <w:r>
        <w:t xml:space="preserve">Có khả năng đảm nhận tốt các vị trí tại các bộ phận chức năng kế toán, kiểm toán ở doanh nghiệp trong và ngoài nước, các Bộ, ngành và các cơ quan nh à nước; các đơn vị liên doanh liên kết; các ngân hàng hoặc các tổ chức khác; hành nghề kế toán tại các công ty tư vấn kế toán  kiểm toán chuyên nghiệp có yếu tố nước ngoài;  </w:t>
      </w:r>
    </w:p>
    <w:p>
      <w:pPr>
        <w:pStyle w:val="ListParagraph"/>
      </w:pPr>
      <w:r>
        <w:t xml:space="preserve">Đủ kỹ năng đảm đương hoặc tham gia các hoạt động hoạch định chính sách kế toán/kiểm toán, và tổ chức công tác kế toán tại các doanh nghiệp;  </w:t>
      </w:r>
    </w:p>
    <w:p>
      <w:pPr>
        <w:pStyle w:val="ListParagraph"/>
      </w:pPr>
      <w:r>
        <w:t xml:space="preserve">Có khả năng tự tạo lập doanh nghiệp và tìm kiến cơ hội kinh doanh riêng cho bản thân;  </w:t>
      </w:r>
    </w:p>
    <w:p>
      <w:pPr>
        <w:pStyle w:val="ListParagraph"/>
      </w:pPr>
      <w:r>
        <w:t>Có khả năng trở thành cán bộ nghiên cứu, cán bộ giảng dạy về kế toán, kiểm toán tại các Viện, Trung tâm nghiên cứu, các cơ sở đào tạo.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