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Người đã có bằng tốt nghiệp trung cấp ngành nghề thuộc cùng nhóm ngành dự tuyển và đã hoàn thành đủ yêu cầu khối lượng kiến thức văn hóa cấp THPT theo quy định của pháp luật.</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