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2.1 Mục tiêu  </w:t>
      </w:r>
    </w:p>
    <w:p>
      <w:pPr>
        <w:pStyle w:val="ListParagraph"/>
      </w:pPr>
      <w:r>
        <w:t xml:space="preserve">Chương trình đào tạo ngành kế toán, chuyên ngành kế toán doanh nghiệp của Học viện Công nghệ Bưu chính Viễn thông được thiết kế nhằm  đào tạo và cung ứng nguồn nhân lực trình độ đại học ngành kế toán doanh nghiệp trong thời đại hội nhập quốc tế. Sinh viên tốt nghiệp chương trình có phẩm chất đạo đức nghề nghiệp và sức khỏe tốt; có bản lĩnh chính trị vững vàng; có kiến thức cơ bản, cơ sở và bổ trợ về kinh tế, kinh doanh và quản lý; có kiến thức và kỹ năng chuyên môn về ngành nghề kế toán, phân tích tài chính và kiểm toán.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