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4.2.3.2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>4.2.3.3 Thực tập</w:t>
      </w:r>
    </w:p>
    <w:p>
      <w:pPr>
        <w:pStyle w:val="ListParagraph"/>
      </w:pPr>
      <w:r>
        <w:t xml:space="preserve">Thực tập: 4 TC  </w:t>
      </w:r>
    </w:p>
    <w:p>
      <w:pPr>
        <w:pStyle w:val="Normal"/>
      </w:pPr>
      <w:r>
        <w:t xml:space="preserve">4.2.3.4 Tốt nghiệp </w:t>
      </w:r>
    </w:p>
    <w:p>
      <w:pPr>
        <w:pStyle w:val="ListParagraph"/>
      </w:pPr>
      <w:r>
        <w:t xml:space="preserve">Tốt nghiệp: 6TC (Làm khóa luận hoặc học 3 học phần thay thế tốt nghiệp, mỗi học phần 2TC trong số học phần tự chọn kiến thức chuyên ngành, lựa chọn theo nhóm)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