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 Quy định chung</w:t>
      </w:r>
    </w:p>
    <w:p>
      <w:pPr>
        <w:pStyle w:val="ListParagraph"/>
      </w:pPr>
      <w:r>
        <w:t xml:space="preserve">Đối tượng dự tuyển được xác định tại thời điểm xét tuyển (trước khi công bố kết quả xét tuyển chính thức), bao gồm: </w:t>
      </w:r>
    </w:p>
    <w:p>
      <w:pPr>
        <w:pStyle w:val="ListParagraph"/>
      </w:pPr>
      <w:r>
        <w:t xml:space="preserve">Người đã được công nhận tốt nghiệp trung học phổ thông (THPT) của Việt Nam hoặc có bằng tốt nghiệp của nước ngoài được công nhận trình độ tương đương ; </w:t>
      </w:r>
    </w:p>
    <w:p>
      <w:pPr>
        <w:pStyle w:val="ListParagraph"/>
      </w:pPr>
      <w:r>
        <w:t xml:space="preserve">Người đã có bằng tốt nghiệp trung cấp ngành nghề thuộc cùng nhóm ngành dự tuyển và đã hoàn thành đủ yêu cầu khối lượng kiến thức văn hóa cấp THPT theo quy định của pháp luật . </w:t>
      </w:r>
    </w:p>
    <w:p>
      <w:pPr>
        <w:pStyle w:val="ListParagraph"/>
      </w:pPr>
      <w:r>
        <w:t xml:space="preserve">Có đủ sức khỏe để học tập theo quy định hiện hành ; </w:t>
      </w:r>
    </w:p>
    <w:p>
      <w:pPr>
        <w:pStyle w:val="ListParagraph"/>
      </w:pPr>
      <w:r>
        <w:t xml:space="preserve">Có đủ sức khỏe để học tập theo quy định hiện hành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