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b) Đối với phương thức xét tuyển dựa vào kết quả thi THPT năm 2022</w:t>
      </w:r>
    </w:p>
    <w:p>
      <w:pPr>
        <w:pStyle w:val="ListParagraph"/>
      </w:pPr>
      <w:r>
        <w:t xml:space="preserve">Ngoài các yêu cầu theo quy định chung ở mục a) thì thí sinh phải tham dự kỳ thi tốt nghiệp THPT năm 2022 với các bài thi/môn thi theo tổ hợp xét tuyển  tương ứng các ngành của Học viện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