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 xml:space="preserve"> 4.2.3.2. Kiến thức ngành và chuyên ngành   </w:t>
      </w:r>
    </w:p>
    <w:p>
      <w:pPr>
        <w:pStyle w:val="Heading7"/>
      </w:pPr>
      <w:r>
        <w:t xml:space="preserve">❖ Kiến thức ngành  </w:t>
      </w:r>
    </w:p>
    <w:p>
      <w:pPr>
        <w:pStyle w:val="Normal"/>
      </w:pPr>
      <w:r>
        <w:t xml:space="preserve"> </w:t>
      </w:r>
    </w:p>
    <w:p>
      <w:pPr>
        <w:pStyle w:val="Heading7"/>
      </w:pPr>
      <w:r>
        <w:t xml:space="preserve">❖ Chuyên ngành Kỹ thuật điều khiển  </w:t>
      </w:r>
    </w:p>
    <w:p>
      <w:pPr>
        <w:pStyle w:val="Normal"/>
      </w:pPr>
      <w:r>
        <w:t xml:space="preserve"> </w:t>
      </w:r>
    </w:p>
    <w:p>
      <w:pPr>
        <w:pStyle w:val="Heading7"/>
      </w:pPr>
      <w:r>
        <w:t xml:space="preserve">❖ Chuyên ngành Tự động hóa   </w:t>
      </w:r>
    </w:p>
    <w:p>
      <w:pPr>
        <w:pStyle w:val="Normal"/>
      </w:pPr>
      <w:r>
        <w:t xml:space="preserve"> 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