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a. Quy định chung  </w:t>
      </w:r>
    </w:p>
    <w:p>
      <w:pPr>
        <w:pStyle w:val="ListParagraph"/>
      </w:pPr>
      <w:r>
        <w:t xml:space="preserve">Đối tượng dự tuyển được xác định tại thời điểm xét tuyển (trước khi công bố kết quả </w:t>
      </w:r>
    </w:p>
    <w:p>
      <w:pPr>
        <w:pStyle w:val="ListParagraph"/>
      </w:pPr>
      <w:r>
        <w:t xml:space="preserve">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 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