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4.2.3  Khối kiến thức giáo dục chuyên nghiệp  </w:t>
      </w:r>
    </w:p>
    <w:p>
      <w:pPr>
        <w:pStyle w:val="Heading6"/>
      </w:pPr>
      <w:r>
        <w:t xml:space="preserve">4.2.3.1  Kiến thức cơ sở ngành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6"/>
      </w:pPr>
      <w:r>
        <w:t xml:space="preserve">4.2.3.2 Kiến thức ngành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6"/>
      </w:pPr>
      <w:r>
        <w:t xml:space="preserve">4.2.3.3 Khối kiến thức chuyên ngành  </w:t>
      </w:r>
    </w:p>
    <w:p>
      <w:pPr>
        <w:pStyle w:val="Heading7"/>
      </w:pPr>
      <w:r>
        <w:t xml:space="preserve">Chuyên ngành Mạng và dịch vụ Internet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7"/>
      </w:pPr>
      <w:r>
        <w:t xml:space="preserve">Chuyên ngành Thông tin vô tuyến và di động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7"/>
      </w:pPr>
      <w:r>
        <w:t xml:space="preserve">Chuyên ngành Hệ thống IoT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Heading6"/>
      </w:pPr>
      <w:r>
        <w:t xml:space="preserve">4.2.3.4 Học phần thay thế tốt nghiệp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6"/>
      </w:pPr>
      <w:r>
        <w:t xml:space="preserve">4.2.3.5 Thực tập tốt nghiệp </w:t>
      </w:r>
    </w:p>
    <w:p>
      <w:pPr>
        <w:pStyle w:val="ListParagraph"/>
      </w:pPr>
      <w:r>
        <w:t xml:space="preserve">Thực tập tốt nghiệp (6 TC) và Đồ án tốt nghiệp hoặc học phần thay thế tốt nghiệp  (6 TC). </w:t>
      </w:r>
    </w:p>
    <w:p>
      <w:pPr>
        <w:pStyle w:val="Normal"/>
      </w:pPr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