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150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 Cấu trúc chương trình  </w:t>
      </w:r>
    </w:p>
    <w:p>
      <w:pPr>
        <w:pStyle w:val="ListParagraph"/>
      </w:pPr>
      <w:r>
        <w:t>Khối kiến thức giáo dục đại cương: 50 tín chỉ</w:t>
      </w:r>
    </w:p>
    <w:p>
      <w:pPr>
        <w:pStyle w:val="ListParagraph"/>
      </w:pPr>
      <w:r>
        <w:t>Khối kiến thức giáo dục chuyên nghiệp: 69 tín chỉ trong đó:</w:t>
      </w:r>
    </w:p>
    <w:p>
      <w:pPr>
        <w:pStyle w:val="ListParagraph"/>
      </w:pPr>
      <w:r>
        <w:t>Kiến thức cơ sở ngành: 31 tín chỉ</w:t>
      </w:r>
    </w:p>
    <w:p>
      <w:pPr>
        <w:pStyle w:val="ListParagraph"/>
      </w:pPr>
      <w:r>
        <w:t>Kiến thức ngành: 38 tín chỉ</w:t>
      </w:r>
    </w:p>
    <w:p>
      <w:pPr>
        <w:pStyle w:val="ListParagraph"/>
      </w:pPr>
      <w:r>
        <w:t>Khối kiến thức chuyên ngành: 19 tín chỉ</w:t>
      </w:r>
    </w:p>
    <w:p>
      <w:pPr>
        <w:pStyle w:val="ListParagraph"/>
      </w:pPr>
      <w:r>
        <w:t>Thực tập và Tốt nghiệp: 12 tín chỉ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p>
      <w:pPr>
        <w:pStyle w:val="Heading4"/>
      </w:pPr>
      <w:r>
        <w:t xml:space="preserve">4.2 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150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</w:t>
      </w:r>
    </w:p>
    <w:p>
      <w:pPr>
        <w:pStyle w:val="Heading6"/>
      </w:pPr>
      <w:r>
        <w:t xml:space="preserve">4.2.3.1  Kiến thức cơ sở ngành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4.2.3.3 Khối kiến thức chuyên ngành  </w:t>
      </w:r>
    </w:p>
    <w:p>
      <w:pPr>
        <w:pStyle w:val="Heading7"/>
      </w:pPr>
      <w:r>
        <w:t xml:space="preserve">Chuyên ngành Mạng và dịch vụ Internet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Thông tin vô tuyến và di động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7"/>
      </w:pPr>
      <w:r>
        <w:t xml:space="preserve">Chuyên ngành Hệ thống IoT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4.2.3.4 Học phần thay thế tốt nghiệp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 (6 TC). </w:t>
      </w:r>
    </w:p>
    <w:p>
      <w:pPr>
        <w:pStyle w:val="Normal"/>
      </w:pPr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