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Khả năng làm việc thành công trong tổ chức  </w:t>
      </w:r>
    </w:p>
    <w:p>
      <w:pPr>
        <w:pStyle w:val="Normal"/>
      </w:pPr>
      <w:r>
        <w:t xml:space="preserve"> Nhận thức chính xác và hiểu rõ vị trí làm việc trong c ác doanh nghiệp; nắm rõ được văn hóa doanh nghiệp; chiến lược, mục tiêu và kế hoạch của tổ chức, v ận dụng kiến thức được trang bị để phục vụ hiệu quả cho hoạt động của doanh nghiệp, có khả năng làm việc thành công trong tổ chức.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