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1. ĐIỀU KIỆN TUYỂN SINH  </w:t>
      </w:r>
    </w:p>
    <w:p>
      <w:pPr>
        <w:pStyle w:val="Heading3"/>
      </w:pPr>
      <w:r>
        <w:t xml:space="preserve">a. Quy định chung  </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 xml:space="preserve">b. Đối với phương thức xét tuyển dựa vào kết quả thi THPT năm 2022  </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