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 xml:space="preserve">4.1 Cấu trúc chương trình đào tạo  </w:t>
      </w:r>
    </w:p>
    <w:p>
      <w:pPr>
        <w:pStyle w:val="ListParagraph"/>
      </w:pPr>
      <w:r>
        <w:t xml:space="preserve">Kiến thức giáo dục đại cương:  50 tín chỉ </w:t>
      </w:r>
    </w:p>
    <w:p>
      <w:pPr>
        <w:pStyle w:val="ListParagraph"/>
      </w:pPr>
      <w:r>
        <w:t xml:space="preserve">Khối kiến thức chung: 31 tín chỉ </w:t>
      </w:r>
    </w:p>
    <w:p>
      <w:pPr>
        <w:pStyle w:val="ListParagraph"/>
      </w:pPr>
      <w:r>
        <w:t xml:space="preserve">Lý luận chính trị: 11 tín chỉ </w:t>
      </w:r>
    </w:p>
    <w:p>
      <w:pPr>
        <w:pStyle w:val="ListParagraph"/>
      </w:pPr>
      <w:r>
        <w:t xml:space="preserve">Tiếng Anh: 14 tín chỉ </w:t>
      </w:r>
    </w:p>
    <w:p>
      <w:pPr>
        <w:pStyle w:val="ListParagraph"/>
      </w:pPr>
      <w:r>
        <w:t xml:space="preserve">Tin học cơ sở : 4 tín chỉ </w:t>
      </w:r>
    </w:p>
    <w:p>
      <w:pPr>
        <w:pStyle w:val="ListParagraph"/>
      </w:pPr>
      <w:r>
        <w:t xml:space="preserve">Phương pháp nghiên cứu : 2 tín chỉ </w:t>
      </w:r>
    </w:p>
    <w:p>
      <w:pPr>
        <w:pStyle w:val="ListParagraph"/>
      </w:pPr>
      <w:r>
        <w:t xml:space="preserve">Khối kiến thức cơ bản khoa học tự nhiên: 19 tín chỉ </w:t>
      </w:r>
    </w:p>
    <w:p>
      <w:pPr>
        <w:pStyle w:val="ListParagraph"/>
      </w:pPr>
      <w:r>
        <w:t xml:space="preserve">Kiến thức giáo dục chuyên nghiệp: 88 tín chỉ </w:t>
      </w:r>
    </w:p>
    <w:p>
      <w:pPr>
        <w:pStyle w:val="ListParagraph"/>
      </w:pPr>
      <w:r>
        <w:t xml:space="preserve">Khối kiến thức cơ sở ngành : 55 tín chỉ </w:t>
      </w:r>
    </w:p>
    <w:p>
      <w:pPr>
        <w:pStyle w:val="ListParagraph"/>
      </w:pPr>
      <w:r>
        <w:t xml:space="preserve">Khối kiến thức chuyên chuyên ngành:  33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 xml:space="preserve">TỔNG CỘNG:  150 tín chỉ </w:t>
      </w:r>
    </w:p>
    <w:p>
      <w:pPr>
        <w:pStyle w:val="Normal"/>
      </w:pPr>
    </w:p>
    <w:p>
      <w:pPr>
        <w:pStyle w:val="Heading4"/>
      </w:pPr>
      <w:r>
        <w:t xml:space="preserve">4.2 Nội dung chương trình đào tạo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p>
      <w:pPr>
        <w:pStyle w:val="Heading5"/>
      </w:pPr>
      <w:r>
        <w:t xml:space="preserve">4.2.2 Khối kiến thức khoa học tự nhiên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Khối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Khối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4.2.4. Thực tập (mã INT14174) và Đồ án tốt nghiệp (mã INT14175) </w:t>
      </w:r>
    </w:p>
    <w:p>
      <w:pPr>
        <w:pStyle w:val="ListParagraph"/>
      </w:pPr>
      <w:r>
        <w:t xml:space="preserve">Thực tập (mã INT14174) và Đồ án tốt nghiệp (mã INT14175): 12 tín chỉ  (Thực tập tốt nghiệp 6 tín chỉ và Đồ án hoặc học phần thay thế tốt nghiệp 6 tín chỉ)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