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 </w:t>
      </w:r>
    </w:p>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 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 </w:t>
      </w:r>
    </w:p>
    <w:p>
      <w:pPr>
        <w:pStyle w:val="ListParagraph"/>
      </w:pPr>
      <w:r>
        <w:t xml:space="preserve">Thí sinh có điểm thi đánh giá tư duy của Đại học Bách khoa Hà Nội năm 2022 từ 20 điểm trở lên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