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3.3. Ngoại ngữ  </w:t>
      </w:r>
    </w:p>
    <w:p>
      <w:pPr>
        <w:pStyle w:val="Normal"/>
      </w:pPr>
      <w:r>
        <w:t xml:space="preserve">Sinh viên tốt nghiệp chương trình đào tạo cử nhân ngành Marketing của Học viện sẽ đạt các chuẩn đầu ra về ngoại ngữ như sau:  </w:t>
      </w:r>
    </w:p>
    <w:p>
      <w:pPr>
        <w:pStyle w:val="ListParagraph"/>
      </w:pPr>
      <w:r>
        <w:t xml:space="preserve">LO21. Đạt năng lực tiếng Anh 450  điểm TOEIC quốc tế trở lên ( tương đương Bậc 3 theo khung năng lực  ngoại ngữ 6 bậc dùng cho Việt Nam ). </w:t>
      </w:r>
    </w:p>
    <w:p>
      <w:pPr>
        <w:pStyle w:val="ListParagraph"/>
      </w:pPr>
      <w:r>
        <w:t xml:space="preserve">LO22. Có khả năng sử dụng tiếng Anh cơ bản trong các hoạt động liên quan đến nghề nghiệp được đào tạo.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