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5.1 Cấu trúc chương trình</w:t>
      </w:r>
    </w:p>
    <w:p>
      <w:pPr>
        <w:pStyle w:val="ListParagraph"/>
      </w:pPr>
      <w:r>
        <w:t>Kiến thức giáo dục đại cương: 47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cơ bản/ khoa học xã hội: 18 tín chỉ</w:t>
      </w:r>
    </w:p>
    <w:p>
      <w:pPr>
        <w:pStyle w:val="ListParagraph"/>
      </w:pPr>
      <w:r>
        <w:t>Kiến  thức giáo dục chuyên nghiệp: 81 tín chỉ</w:t>
      </w:r>
    </w:p>
    <w:p>
      <w:pPr>
        <w:pStyle w:val="ListParagraph"/>
      </w:pPr>
      <w:r>
        <w:t>Khối kiến thức cơ sở (nhóm ngành và ngành): 57 tín chỉ</w:t>
      </w:r>
    </w:p>
    <w:p>
      <w:pPr>
        <w:pStyle w:val="ListParagraph"/>
      </w:pPr>
      <w:r>
        <w:t>Khối kiến thức chuyên chuyên ngành: 14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128 tín chỉ</w:t>
      </w:r>
    </w:p>
    <w:p>
      <w:pPr>
        <w:pStyle w:val="ListParagraph"/>
      </w:pPr>
    </w:p>
    <w:p>
      <w:pPr>
        <w:pStyle w:val="Heading4"/>
      </w:pPr>
      <w:r>
        <w:t xml:space="preserve">5.2 Nội dung chương trình  </w:t>
      </w:r>
    </w:p>
    <w:p>
      <w:pPr>
        <w:pStyle w:val="Heading6"/>
      </w:pPr>
      <w:r>
        <w:t xml:space="preserve">5.2.1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 học tập môn học tiếng Anh thực hiện theo chương trình chi tiết riêng.  </w:t>
      </w:r>
    </w:p>
    <w:p>
      <w:pPr>
        <w:pStyle w:val="Normal"/>
      </w:pPr>
    </w:p>
    <w:p>
      <w:pPr>
        <w:pStyle w:val="Heading6"/>
      </w:pPr>
      <w:r>
        <w:t xml:space="preserve">5.2.2. Kiến thức khoa học cơ bản , khoa học xã hội  </w:t>
      </w:r>
    </w:p>
    <w:p>
      <w:pPr>
        <w:pStyle w:val="Normal"/>
      </w:pPr>
    </w:p>
    <w:p>
      <w:pPr>
        <w:pStyle w:val="Heading6"/>
      </w:pPr>
      <w:r>
        <w:t xml:space="preserve">5.2.3 Khối kiến thức giáo dục chuyên nghiệp  </w:t>
      </w:r>
    </w:p>
    <w:p>
      <w:pPr>
        <w:pStyle w:val="Heading7"/>
      </w:pPr>
      <w:r>
        <w:t xml:space="preserve">5.2.3.1. Kiến thức cơ sở nhóm ngành và ngành 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5.2.3.2. Kiến thức chuyên ngành  </w:t>
      </w:r>
    </w:p>
    <w:p>
      <w:pPr>
        <w:pStyle w:val="Heading8"/>
      </w:pPr>
      <w:r>
        <w:t xml:space="preserve">Chuyên ngành Internet Markerting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8"/>
      </w:pPr>
      <w:r>
        <w:t xml:space="preserve">Chuyên ngành Phân tích dữ liệu marketing số </w:t>
      </w: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 xml:space="preserve">Chuyên ngành Truyền thông Marketing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>5.2.3.3. Thực tập và tốt nghiệp</w:t>
      </w:r>
    </w:p>
    <w:p>
      <w:pPr>
        <w:pStyle w:val="Normal"/>
      </w:pPr>
      <w:r>
        <w:t>Thực tập tốt nghiệp  – mã MAR1445  (4TC) và Luận văn tốt nghiệp  – mã MAR1446  (6TC) hoặc học phần thay thế tốt nghiệp  (chọn 02 trong 03 môn dưới đây).</w:t>
      </w:r>
    </w:p>
    <w:p>
      <w:pPr>
        <w:pStyle w:val="ListParagraph"/>
      </w:pPr>
      <w:r>
        <w:t>Truyền thông nội bộ trong tổ chức</w:t>
      </w:r>
    </w:p>
    <w:p>
      <w:pPr>
        <w:pStyle w:val="ListParagraph"/>
      </w:pPr>
      <w:r>
        <w:t>Mã số học phần: MAR1419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ListParagraph"/>
      </w:pPr>
      <w:r>
        <w:t>Marketing dựa trên giá trị</w:t>
      </w:r>
    </w:p>
    <w:p>
      <w:pPr>
        <w:pStyle w:val="ListParagraph"/>
      </w:pPr>
      <w:r>
        <w:t>Mã số học phần: MAR1421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 xml:space="preserve">Tự học: 1 tiết </w:t>
      </w:r>
    </w:p>
    <w:p>
      <w:pPr>
        <w:pStyle w:val="ListParagraph"/>
      </w:pPr>
      <w:r>
        <w:t>Quản trị quan hệ khách hàng</w:t>
      </w:r>
    </w:p>
    <w:p>
      <w:pPr>
        <w:pStyle w:val="ListParagraph"/>
      </w:pPr>
      <w:r>
        <w:t>Mã số học phần: MAR1440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