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ListParagraph"/>
      </w:pPr>
      <w:r>
        <w:t xml:space="preserve">KHỐI LƯỢNG KIẾN THỨC TOÀN KHÓA: 130 tín chỉ (không bao gồm Giáo dục thể chất , Giáo dục quốc phòng và Kỹ năng mềm ).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 xml:space="preserve">Kiến thức giáo dục đại cương:  45 tín chỉ </w:t>
      </w:r>
    </w:p>
    <w:p>
      <w:pPr>
        <w:pStyle w:val="ListParagraph"/>
      </w:pPr>
      <w:r>
        <w:t xml:space="preserve">Kiến thức giáo dục chuyên nghiệp: 75 tín chỉ Trong đó:  </w:t>
      </w:r>
    </w:p>
    <w:p>
      <w:pPr>
        <w:pStyle w:val="ListParagraph"/>
      </w:pPr>
      <w:r>
        <w:t xml:space="preserve">Kiến thức cơ sở khối ngành và ngành : 58 tín chỉ </w:t>
      </w:r>
    </w:p>
    <w:p>
      <w:pPr>
        <w:pStyle w:val="ListParagraph"/>
      </w:pPr>
      <w:r>
        <w:t xml:space="preserve">Kiến thức chuyên ngành : 17 tín chỉ </w:t>
      </w:r>
    </w:p>
    <w:p>
      <w:pPr>
        <w:pStyle w:val="ListParagraph"/>
      </w:pPr>
      <w:r>
        <w:t xml:space="preserve">Thực tập và Tốt nghiệp: 10 tín chỉ </w:t>
      </w:r>
    </w:p>
    <w:p>
      <w:pPr>
        <w:pStyle w:val="ListParagraph"/>
      </w:pPr>
      <w:r>
        <w:t xml:space="preserve">Tổng cộng:  130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Normal"/>
      </w:pPr>
    </w:p>
    <w:p>
      <w:pPr>
        <w:pStyle w:val="Heading5"/>
      </w:pPr>
      <w:r>
        <w:t>Kiến thức cơ bản nhóm ngành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khối ngành và ngành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4.2.3.3. Thực tập tốt nghiệp (4TC) và Khóa l uận t ốt nghiệp 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