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2.2.1 . Về kiến thức</w:t>
      </w:r>
    </w:p>
    <w:p>
      <w:pPr>
        <w:pStyle w:val="ListParagraph"/>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