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4.1. Cấu trúc chương trình</w:t>
      </w:r>
    </w:p>
    <w:p>
      <w:pPr>
        <w:pStyle w:val="ListParagraph"/>
      </w:pPr>
      <w:r>
        <w:t>Kiến thức giáo dục đại cương: 45 tín chỉ</w:t>
      </w:r>
    </w:p>
    <w:p>
      <w:pPr>
        <w:pStyle w:val="ListParagraph"/>
      </w:pPr>
      <w:r>
        <w:t>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16 tín chỉ</w:t>
      </w:r>
    </w:p>
    <w:p>
      <w:pPr>
        <w:pStyle w:val="ListParagraph"/>
      </w:pPr>
      <w:r>
        <w:t>Kiến thức giáo dục chuyên nghiệp: 75 tín chỉ</w:t>
      </w:r>
    </w:p>
    <w:p>
      <w:pPr>
        <w:pStyle w:val="ListParagraph"/>
      </w:pPr>
      <w:r>
        <w:t>Kiến thức cơ sở ngành Kinh doanh và Quản lý: 43 tín chỉ</w:t>
      </w:r>
    </w:p>
    <w:p>
      <w:pPr>
        <w:pStyle w:val="ListParagraph"/>
      </w:pPr>
      <w:r>
        <w:t>Kiến thức cơ sở ngành Máy tính và Công nghệ thông tin: 14 tín chỉ</w:t>
      </w:r>
    </w:p>
    <w:p>
      <w:pPr>
        <w:pStyle w:val="ListParagraph"/>
      </w:pPr>
      <w:r>
        <w:t>Kiến thức chuyên ngành: 18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130 tín chỉ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