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4.2.3.3. Thực tập và tốt nghiệp  </w:t>
      </w:r>
    </w:p>
    <w:p>
      <w:pPr>
        <w:pStyle w:val="Normal"/>
      </w:pPr>
      <w:r>
        <w:t xml:space="preserve">Thực tập tốt nghiệp (mã BSA1590 , 4TC) và Khóa luận tốt nghiệp (mã  BSA1591, 6TC) hoặc học phần thay thế tốt nghiệp (6TC) </w:t>
      </w:r>
    </w:p>
    <w:p>
      <w:pPr>
        <w:pStyle w:val="ListParagraph"/>
      </w:pPr>
      <w:r>
        <w:t>Truyền thông thương hiệu trong môi trường trực tuyến</w:t>
      </w:r>
    </w:p>
    <w:p>
      <w:pPr>
        <w:pStyle w:val="ListParagraph"/>
      </w:pPr>
      <w:r>
        <w:t>Mã số: BSA1462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Quản trị đổi mới sáng tạo</w:t>
      </w:r>
    </w:p>
    <w:p>
      <w:pPr>
        <w:pStyle w:val="ListParagraph"/>
      </w:pPr>
      <w:r>
        <w:t>Mã số: BSA1468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Thương mại di dộng</w:t>
      </w:r>
    </w:p>
    <w:p>
      <w:pPr>
        <w:pStyle w:val="ListParagraph"/>
      </w:pPr>
      <w:r>
        <w:t>Mã số: BSA1461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