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130 tín chỉ  (không bao gồm kiến thức Giáo dục Quốc phòng, Giáo dục thể chất và Kỹ năng mềm )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4.1. Cấu trúc chương trình</w:t>
      </w:r>
    </w:p>
    <w:p>
      <w:pPr>
        <w:pStyle w:val="ListParagraph"/>
      </w:pPr>
      <w:r>
        <w:t>Kiến thức giáo dục đại cương: 45 tín chỉ</w:t>
      </w:r>
    </w:p>
    <w:p>
      <w:pPr>
        <w:pStyle w:val="ListParagraph"/>
      </w:pPr>
      <w:r>
        <w:t>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16 tín chỉ</w:t>
      </w:r>
    </w:p>
    <w:p>
      <w:pPr>
        <w:pStyle w:val="ListParagraph"/>
      </w:pPr>
      <w:r>
        <w:t>Kiến thức giáo dục chuyên nghiệp: 75 tín chỉ</w:t>
      </w:r>
    </w:p>
    <w:p>
      <w:pPr>
        <w:pStyle w:val="ListParagraph"/>
      </w:pPr>
      <w:r>
        <w:t>Kiến thức cơ sở ngành Kinh doanh và Quản lý: 43 tín chỉ</w:t>
      </w:r>
    </w:p>
    <w:p>
      <w:pPr>
        <w:pStyle w:val="ListParagraph"/>
      </w:pPr>
      <w:r>
        <w:t>Kiến thức cơ sở ngành Máy tính và Công nghệ thông tin: 14 tín chỉ</w:t>
      </w:r>
    </w:p>
    <w:p>
      <w:pPr>
        <w:pStyle w:val="ListParagraph"/>
      </w:pPr>
      <w:r>
        <w:t>Kiến thức chuyên ngành: 18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130 tín chỉ  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ListParagraph"/>
      </w:pPr>
    </w:p>
    <w:p>
      <w:pPr>
        <w:pStyle w:val="Heading5"/>
      </w:pPr>
      <w:r>
        <w:t xml:space="preserve">4.2.2. Khối kiến thức khoa học tự  nhiên và xã hội  </w:t>
      </w:r>
    </w:p>
    <w:p>
      <w:pPr>
        <w:pStyle w:val="Normal"/>
      </w:pPr>
    </w:p>
    <w:p>
      <w:pPr>
        <w:pStyle w:val="Heading5"/>
      </w:pPr>
      <w:r>
        <w:t xml:space="preserve"> 4.2.3 Khối kiến thức giáo dục chuyên nghiệp  </w:t>
      </w:r>
    </w:p>
    <w:p>
      <w:pPr>
        <w:pStyle w:val="Heading6"/>
      </w:pPr>
      <w:r>
        <w:t xml:space="preserve">4.2.3.1. Kiến thức cơ sở (nhóm ngành và ngành)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Thực tập và tốt nghiệp  </w:t>
      </w:r>
    </w:p>
    <w:p>
      <w:pPr>
        <w:pStyle w:val="Normal"/>
      </w:pPr>
      <w:r>
        <w:t xml:space="preserve">Thực tập tốt nghiệp (mã BSA1590 , 4TC) và Khóa luận tốt nghiệp (mã  BSA1591, 6TC) hoặc học phần thay thế tốt nghiệp (6TC) </w:t>
      </w:r>
    </w:p>
    <w:p>
      <w:pPr>
        <w:pStyle w:val="ListParagraph"/>
      </w:pPr>
      <w:r>
        <w:t>Truyền thông thương hiệu trong môi trường trực tuyến</w:t>
      </w:r>
    </w:p>
    <w:p>
      <w:pPr>
        <w:pStyle w:val="ListParagraph"/>
      </w:pPr>
      <w:r>
        <w:t>Mã số: BSA1462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Quản trị đổi mới sáng tạo</w:t>
      </w:r>
    </w:p>
    <w:p>
      <w:pPr>
        <w:pStyle w:val="ListParagraph"/>
      </w:pPr>
      <w:r>
        <w:t>Mã số: BSA1468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Thương mại di dộng</w:t>
      </w:r>
    </w:p>
    <w:p>
      <w:pPr>
        <w:pStyle w:val="ListParagraph"/>
      </w:pPr>
      <w:r>
        <w:t>Mã số: BSA1461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