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5.1. Cấu trúc chương trình  </w:t>
      </w:r>
    </w:p>
    <w:p>
      <w:pPr>
        <w:pStyle w:val="ListParagraph"/>
      </w:pPr>
      <w:r>
        <w:t xml:space="preserve">Kiến thức giáo dục đại cương:  38 tín chỉ </w:t>
      </w:r>
    </w:p>
    <w:p>
      <w:pPr>
        <w:pStyle w:val="ListParagraph"/>
      </w:pPr>
      <w:r>
        <w:t xml:space="preserve">Khối kiến thức chung:  27 tín chỉ </w:t>
      </w:r>
    </w:p>
    <w:p>
      <w:pPr>
        <w:pStyle w:val="ListParagraph"/>
      </w:pPr>
      <w:r>
        <w:t xml:space="preserve">Lý luận chính trị:  11 tín chỉ 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 xml:space="preserve">Tin học:  2 tín chỉ </w:t>
      </w:r>
    </w:p>
    <w:p>
      <w:pPr>
        <w:pStyle w:val="ListParagraph"/>
      </w:pPr>
      <w:r>
        <w:t xml:space="preserve">Khối kiến thức khoa học xã hội:  11 tín chỉ </w:t>
      </w:r>
    </w:p>
    <w:p>
      <w:pPr>
        <w:pStyle w:val="ListParagraph"/>
      </w:pPr>
      <w:r>
        <w:t xml:space="preserve">Kiến thức giáo dục chuyên nghiệp: 78 tín chỉ  </w:t>
      </w:r>
    </w:p>
    <w:p>
      <w:pPr>
        <w:pStyle w:val="ListParagraph"/>
      </w:pPr>
      <w:r>
        <w:t>Kiến thức cơ sở ngành (nhóm ngành và ngành):  46 tín chỉ</w:t>
      </w:r>
    </w:p>
    <w:p>
      <w:pPr>
        <w:pStyle w:val="ListParagraph"/>
      </w:pPr>
      <w:r>
        <w:t>Kiến thức chuyên ngành: 32 tín chỉ</w:t>
      </w:r>
    </w:p>
    <w:p>
      <w:pPr>
        <w:pStyle w:val="ListParagraph"/>
      </w:pPr>
      <w:r>
        <w:t xml:space="preserve">Thực tập và Tốt nghiệp:  10 tín chỉ </w:t>
      </w:r>
    </w:p>
    <w:p>
      <w:pPr>
        <w:pStyle w:val="ListParagraph"/>
      </w:pPr>
      <w:r>
        <w:t>CỘNG:  126 tín chỉ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