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5.2.3.  Khối kiến thức giáo dục chuyên nghiệp  </w:t>
      </w:r>
    </w:p>
    <w:p>
      <w:pPr>
        <w:pStyle w:val="Heading6"/>
      </w:pPr>
      <w:r>
        <w:t xml:space="preserve">5.2.3.1 Kiến thức cơ sở ngành 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Heading6"/>
      </w:pPr>
      <w:r>
        <w:t xml:space="preserve">5.2.3.2 Kiến thức chuyên ngành  </w:t>
      </w:r>
    </w:p>
    <w:p>
      <w:pPr>
        <w:pStyle w:val="Normal"/>
      </w:pPr>
      <w:r>
        <w:t xml:space="preserve"> 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