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 xml:space="preserve">5.2.  Nội dung chương trình đào tạo  </w:t>
      </w:r>
    </w:p>
    <w:p>
      <w:pPr>
        <w:pStyle w:val="Heading5"/>
      </w:pPr>
      <w:r>
        <w:t xml:space="preserve">5.2.1.  Khối kiến thức chung  </w:t>
      </w:r>
    </w:p>
    <w:p>
      <w:pPr>
        <w:pStyle w:val="Normal"/>
      </w:pPr>
      <w:r>
        <w:t xml:space="preserve">  </w:t>
      </w:r>
    </w:p>
    <w:p>
      <w:pPr>
        <w:pStyle w:val="ListParagraph"/>
      </w:pPr>
      <w:r>
        <w:t xml:space="preserve">Điều kiên để đăng ký học phần tiếng Anh Course 1 trong chương trình là sinh viên phải đạt trình độ tiếng Anh từ 225 điểm theo bài thi TOEIC Placement Test trở lên; các sinh viên chưa đạt mức điểm trên sẽ phải hoàn thành học phần tiếng Anh bổ trợ Course 0 (mã BAS1156). Kế hoạch học tập môn học tiếng Anh thực hiện theo chương trình chi tiết riêng.  </w:t>
      </w:r>
    </w:p>
    <w:p>
      <w:pPr>
        <w:pStyle w:val="Normal"/>
      </w:pPr>
    </w:p>
    <w:p>
      <w:pPr>
        <w:pStyle w:val="Heading5"/>
      </w:pPr>
      <w:r>
        <w:t xml:space="preserve">5.2.2.  Khối kiến thức khoa học xã hội  </w:t>
      </w:r>
    </w:p>
    <w:p>
      <w:pPr>
        <w:pStyle w:val="Normal"/>
      </w:pPr>
    </w:p>
    <w:p>
      <w:pPr>
        <w:pStyle w:val="Normal"/>
      </w:pPr>
    </w:p>
    <w:p>
      <w:pPr>
        <w:pStyle w:val="Heading5"/>
      </w:pPr>
      <w:r>
        <w:t xml:space="preserve">5.2.3.  Khối kiến thức giáo dục chuyên nghiệp  </w:t>
      </w:r>
    </w:p>
    <w:p>
      <w:pPr>
        <w:pStyle w:val="Heading6"/>
      </w:pPr>
      <w:r>
        <w:t xml:space="preserve">5.2.3.1 Kiến thức cơ sở ngành  </w:t>
      </w:r>
    </w:p>
    <w:p>
      <w:pPr>
        <w:pStyle w:val="Normal"/>
      </w:pPr>
      <w:r>
        <w:t xml:space="preserve"> </w:t>
      </w:r>
    </w:p>
    <w:p>
      <w:pPr>
        <w:pStyle w:val="Normal"/>
      </w:pPr>
      <w:r>
        <w:t xml:space="preserve"> </w:t>
      </w:r>
    </w:p>
    <w:p>
      <w:pPr>
        <w:pStyle w:val="Heading6"/>
      </w:pPr>
      <w:r>
        <w:t xml:space="preserve">5.2.3.2 Kiến thức chuyên ngành  </w:t>
      </w:r>
    </w:p>
    <w:p>
      <w:pPr>
        <w:pStyle w:val="Normal"/>
      </w:pPr>
      <w:r>
        <w:t xml:space="preserve"> </w:t>
      </w:r>
    </w:p>
    <w:p>
      <w:pPr>
        <w:pStyle w:val="Normal"/>
      </w:pPr>
    </w:p>
    <w:p>
      <w:pPr>
        <w:pStyle w:val="Heading5"/>
      </w:pPr>
      <w:r>
        <w:t xml:space="preserve">5.2.4 Thực tập tốt nghiệp </w:t>
      </w:r>
    </w:p>
    <w:p>
      <w:pPr>
        <w:pStyle w:val="Normal"/>
      </w:pPr>
      <w:r>
        <w:t xml:space="preserve">Thực tập tốt nghiệp (mã MUL1 5212 ): 4 TC và Khóa luận tốt nghiệp (mã MUL1 5213 ): 6 TC hoặc học phần thay thế tốt nghiệp:  </w:t>
      </w:r>
    </w:p>
    <w:p>
      <w:pPr>
        <w:pStyle w:val="Normal"/>
      </w:pPr>
      <w:r>
        <w:t xml:space="preserve"> </w:t>
      </w: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