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CHƯƠNG TRÌNH ĐÀO TẠO  </w:t>
      </w:r>
    </w:p>
    <w:p>
      <w:pPr>
        <w:pStyle w:val="Normal"/>
      </w:pPr>
      <w:r>
        <w:t xml:space="preserve">KHỐI LƯỢNG KIẾN THỨC TOÀN KHÓA: 126 tín chỉ  (chưa bao gồm khối lượng kiến thức Giáo dục thể chất, Giáo dục Quốc phòng và Kĩ năng mềm) . </w:t>
      </w: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5.1. Cấu trúc chương trình  </w:t>
      </w:r>
    </w:p>
    <w:p>
      <w:pPr>
        <w:pStyle w:val="ListParagraph"/>
      </w:pPr>
      <w:r>
        <w:t xml:space="preserve">Kiến thức giáo dục đại cương:  38 tín chỉ </w:t>
      </w:r>
    </w:p>
    <w:p>
      <w:pPr>
        <w:pStyle w:val="ListParagraph"/>
      </w:pPr>
      <w:r>
        <w:t xml:space="preserve">Khối kiến thức chung:  27 tín chỉ </w:t>
      </w:r>
    </w:p>
    <w:p>
      <w:pPr>
        <w:pStyle w:val="ListParagraph"/>
      </w:pPr>
      <w:r>
        <w:t xml:space="preserve">Lý luận chính trị:  11 tín chỉ 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 xml:space="preserve">Tin học:  2 tín chỉ </w:t>
      </w:r>
    </w:p>
    <w:p>
      <w:pPr>
        <w:pStyle w:val="ListParagraph"/>
      </w:pPr>
      <w:r>
        <w:t xml:space="preserve">Khối kiến thức khoa học xã hội:  11 tín chỉ </w:t>
      </w:r>
    </w:p>
    <w:p>
      <w:pPr>
        <w:pStyle w:val="ListParagraph"/>
      </w:pPr>
      <w:r>
        <w:t xml:space="preserve">Kiến thức giáo dục chuyên nghiệp: 78 tín chỉ  </w:t>
      </w:r>
    </w:p>
    <w:p>
      <w:pPr>
        <w:pStyle w:val="ListParagraph"/>
      </w:pPr>
      <w:r>
        <w:t>Kiến thức cơ sở ngành (nhóm ngành và ngành):  46 tín chỉ</w:t>
      </w:r>
    </w:p>
    <w:p>
      <w:pPr>
        <w:pStyle w:val="ListParagraph"/>
      </w:pPr>
      <w:r>
        <w:t>Kiến thức chuyên ngành: 32 tín chỉ</w:t>
      </w:r>
    </w:p>
    <w:p>
      <w:pPr>
        <w:pStyle w:val="ListParagraph"/>
      </w:pPr>
      <w:r>
        <w:t xml:space="preserve">Thực tập và Tốt nghiệp:  10 tín chỉ </w:t>
      </w:r>
    </w:p>
    <w:p>
      <w:pPr>
        <w:pStyle w:val="ListParagraph"/>
      </w:pPr>
      <w:r>
        <w:t>CỘNG:  126 tín chỉ</w:t>
      </w:r>
    </w:p>
    <w:p>
      <w:pPr>
        <w:pStyle w:val="Normal"/>
      </w:pPr>
      <w:r>
        <w:t xml:space="preserve"> </w:t>
      </w:r>
    </w:p>
    <w:p>
      <w:pPr>
        <w:pStyle w:val="Heading4"/>
      </w:pPr>
      <w:r>
        <w:t xml:space="preserve">5.2.  Nội dung chương trình đào tạo  </w:t>
      </w:r>
    </w:p>
    <w:p>
      <w:pPr>
        <w:pStyle w:val="Heading5"/>
      </w:pPr>
      <w:r>
        <w:t xml:space="preserve">5.2.1. 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Điều kiên để đăng ký học phần tiếng Anh Course 1 trong chương trình là sinh viên phải đạt trình độ tiếng Anh từ 225 điểm theo bài thi TOEIC Placement Test trở lên; các sinh viên chưa đạt mức điểm trên sẽ phải hoàn thành học phần tiếng Anh bổ trợ Course 0 (mã BAS1156). Kế hoạch học tập môn học tiếng Anh thực hiện theo chương trình chi tiết riêng.  </w:t>
      </w:r>
    </w:p>
    <w:p>
      <w:pPr>
        <w:pStyle w:val="Normal"/>
      </w:pPr>
    </w:p>
    <w:p>
      <w:pPr>
        <w:pStyle w:val="Heading5"/>
      </w:pPr>
      <w:r>
        <w:t xml:space="preserve">5.2.2.  Khối kiến thức khoa học xã hội  </w:t>
      </w:r>
    </w:p>
    <w:p>
      <w:pPr>
        <w:pStyle w:val="Normal"/>
      </w:pPr>
    </w:p>
    <w:p>
      <w:pPr>
        <w:pStyle w:val="Normal"/>
      </w:pPr>
    </w:p>
    <w:p>
      <w:pPr>
        <w:pStyle w:val="Heading5"/>
      </w:pPr>
      <w:r>
        <w:t xml:space="preserve">5.2.3.  Khối kiến thức giáo dục chuyên nghiệp  </w:t>
      </w:r>
    </w:p>
    <w:p>
      <w:pPr>
        <w:pStyle w:val="Heading6"/>
      </w:pPr>
      <w:r>
        <w:t xml:space="preserve">5.2.3.1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5.2.3.2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5.2.4 Thực tập tốt nghiệp </w:t>
      </w:r>
    </w:p>
    <w:p>
      <w:pPr>
        <w:pStyle w:val="Normal"/>
      </w:pPr>
      <w:r>
        <w:t xml:space="preserve">Thực tập tốt nghiệp (mã MUL1 5212 ): 4 TC và Khóa luận tốt nghiệp (mã MUL1 5213 ): 6 TC hoặc học phần thay thế tốt nghiệp: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