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Truyền thông đa phương tiện  </w:t>
      </w:r>
    </w:p>
    <w:p>
      <w:pPr>
        <w:pStyle w:val="Normal"/>
      </w:pPr>
      <w:r>
        <w:t xml:space="preserve">(Quyết định số 774/QĐ-HV ngày  14/06/20 23 về việc ban hành Chương trình giáo dục đại học ngành Truyền thông  đa phương tiện - trình độ đại học hệ chính quy ) </w:t>
      </w:r>
    </w:p>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Normal"/>
      </w:pPr>
    </w:p>
    <w:p>
      <w:pPr>
        <w:pStyle w:val="Heading2"/>
      </w:pPr>
      <w:r>
        <w:t xml:space="preserve">2. MỤC  TIÊU  </w:t>
      </w:r>
    </w:p>
    <w:p>
      <w:pPr>
        <w:pStyle w:val="Heading3"/>
      </w:pPr>
      <w:r>
        <w:t xml:space="preserve">2.1. Mục tiêu chung   </w:t>
      </w:r>
    </w:p>
    <w:p>
      <w:pPr>
        <w:pStyle w:val="ListParagraph"/>
      </w:pPr>
      <w:r>
        <w:t xml:space="preserve">Chương trình đào tạo ngành Truyền thông đa phương tiện (Multimedia Communication) của Học viện Công nghệ Bưu chính Viễn thông hướng đến việc đào tạo nhân lực theo hướng hội nhập quốc tế, được trang bị kiến thức và kĩ năng truyền thông đa phương tiện và có thể đảm nhiệm các vị trí công việc khác nhau. Mục tiêu của chương trình nhằm cung ứng nguồn nhân lực trình độ đại học ngành truyền thông có khả năng đảm nhiệm các công việc như: chuyên viên truyền thông, PR, quảng cáo tại các cơ quan, tổ chức trong và ngoài nước, nhà báo đa phương tiện tại các cơ quan thông tấ n - báo chí, quản lý các dự án đa phương tiện, tư vấn truyền thông đa phương tiện, cán bộ nghiên cứu, giảng dạy về lĩnh vực truyền thông đa phương tiện tại các cơ sở nghiên cứu, đào tạo; đáp ứng nhu cầu thị trường lao động trong nước và quốc tế trong lĩnh vực truyền thông. Chương trình được thiết kế dựa trên tiêu chí phát huy lợi thế đi đầu trong đào tạo nhân lực ngành truyền thông đa phương tiện tại Việt Nam theo định hướng hội nhập quốc tế; hướng đến đào tạo nhân lực ngành truyền thông đa phương tiện có n ăng lực làm chủ đồng thời khối kiến thức về truyền thông và công nghệ.  </w:t>
      </w:r>
    </w:p>
    <w:p>
      <w:pPr>
        <w:pStyle w:val="ListParagraph"/>
      </w:pPr>
      <w:r>
        <w:t xml:space="preserve">Sinh viên sau khi tốt nghiệp sẽ được cấp bằng tốt nghiệp  Cử nhân Truyền thông đa phương tiện của Học viện Công nghệ Bưu chính Viễn thông.  </w:t>
      </w:r>
    </w:p>
    <w:p>
      <w:pPr>
        <w:pStyle w:val="Heading3"/>
      </w:pPr>
      <w:r>
        <w:t xml:space="preserve">2.2. Mục tiêu cụ thể  </w:t>
      </w:r>
    </w:p>
    <w:p>
      <w:pPr>
        <w:pStyle w:val="Heading4"/>
      </w:pPr>
      <w:r>
        <w:t xml:space="preserve">2.2.1.  Về Kiến thức  </w:t>
      </w:r>
    </w:p>
    <w:p>
      <w:pPr>
        <w:pStyle w:val="ListParagraph"/>
      </w:pPr>
      <w:r>
        <w:t xml:space="preserve">PO1: Kiến thức cơ bản về lý luận chính trị, pháp luật Việt Nam, an ninh quốc phòng.  </w:t>
      </w:r>
    </w:p>
    <w:p>
      <w:pPr>
        <w:pStyle w:val="ListParagraph"/>
      </w:pPr>
      <w:r>
        <w:t xml:space="preserve">PO2: Kiến thức về khoa học xã hội nhằm đáp ứng các yêu cầu thực tiễn của hoạt động thực hành nghiệp vụ truyền thông;  </w:t>
      </w:r>
    </w:p>
    <w:p>
      <w:pPr>
        <w:pStyle w:val="ListParagraph"/>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pPr>
        <w:pStyle w:val="ListParagraph"/>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báo chí dữ liệu, báo chí đa phương tiện và các khối kiến thức về công nghệ như: đồ họa đa phương tiện, ứng dụng thiết kế web.  </w:t>
      </w:r>
    </w:p>
    <w:p>
      <w:pPr>
        <w:pStyle w:val="Heading4"/>
      </w:pPr>
      <w:r>
        <w:t xml:space="preserve">2.2.2.  Về Kĩ năng  </w:t>
      </w:r>
    </w:p>
    <w:p>
      <w:pPr>
        <w:pStyle w:val="ListParagraph"/>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pPr>
        <w:pStyle w:val="ListParagraph"/>
      </w:pPr>
      <w:r>
        <w:t xml:space="preserve">PO6: Có kỹ năng làm việc khoa học và chuyên nghiệp, tư duy hệ thống và tư duy phân tích, khả năng trình bày, khả năng giao tiếp và làm việc nhóm hiệu quả, có khả năng hội nhập môi trường quốc tế.  </w:t>
      </w:r>
    </w:p>
    <w:p>
      <w:pPr>
        <w:pStyle w:val="Heading4"/>
      </w:pPr>
      <w:r>
        <w:t xml:space="preserve">2.2.3.  Về Thái  độ </w:t>
      </w:r>
    </w:p>
    <w:p>
      <w:pPr>
        <w:pStyle w:val="ListParagraph"/>
      </w:pPr>
      <w:r>
        <w:t xml:space="preserve">PO7: Có phẩm chất đạo đức tốt, ý thức nghề nghiệp, trách nhiệm công dân, chủ động sáng tạo, có ý thức phối hợp,  hợp tác trong công việc, thường xuyên có ý thức học tập nâng cao trình độ, có năng lực chuyên môn và khả năng ngoại ngữ.  </w:t>
      </w:r>
    </w:p>
    <w:p>
      <w:pPr>
        <w:pStyle w:val="Heading4"/>
      </w:pPr>
      <w:r>
        <w:t xml:space="preserve">2.2.4.  Trình độ ngoại ngữ và tin học  </w:t>
      </w:r>
    </w:p>
    <w:p>
      <w:pPr>
        <w:pStyle w:val="ListParagraph"/>
      </w:pPr>
      <w:r>
        <w:t xml:space="preserve">PO8: Đạt trình độ  tiếng Anh 450 điểm TOEIC quốc tế; Có khả năng sử dụng tiếng Anh chuyên ngành để phục vụ công việc, học tập và nghiên cứu;  </w:t>
      </w:r>
    </w:p>
    <w:p>
      <w:pPr>
        <w:pStyle w:val="ListParagraph"/>
      </w:pPr>
      <w:r>
        <w:t xml:space="preserve">PO9: Khả năng sử dụng tốt các công cụ về tin học cơ bản và nâng cao, phục vụ công việc, học tập và nghiên cứu.  </w:t>
      </w:r>
    </w:p>
    <w:p>
      <w:pPr>
        <w:pStyle w:val="Heading4"/>
      </w:pPr>
      <w:r>
        <w:t>2.2.5.  Vị trí làm việc sau tốt nghiệp</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p>
      <w:pPr>
        <w:pStyle w:val="Heading2"/>
      </w:pPr>
      <w:r>
        <w:t xml:space="preserve">3. CHUẨN ĐẦU RA  </w:t>
      </w:r>
    </w:p>
    <w:p>
      <w:pPr>
        <w:pStyle w:val="Heading3"/>
      </w:pPr>
      <w:r>
        <w:t>3.1. Chuẩn về Kiến thức</w:t>
      </w:r>
    </w:p>
    <w:p>
      <w:pPr>
        <w:pStyle w:val="ListParagraph"/>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pPr>
        <w:pStyle w:val="ListParagraph"/>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pPr>
        <w:pStyle w:val="ListParagraph"/>
      </w:pPr>
      <w:r>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pPr>
        <w:pStyle w:val="ListParagraph"/>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hoảng truyền thông, sáng tạo các chiến lược truyền thông và quảng cáo theo đòi hỏi của thực tiễn.  </w:t>
      </w:r>
    </w:p>
    <w:p>
      <w:pPr>
        <w:pStyle w:val="Heading3"/>
      </w:pPr>
      <w:r>
        <w:t>3.2. Chuẩn về Kĩ năng</w:t>
      </w:r>
    </w:p>
    <w:p>
      <w:pPr>
        <w:pStyle w:val="Heading4"/>
      </w:pPr>
      <w:r>
        <w:t>Kĩ năng chuyên môn</w:t>
      </w:r>
    </w:p>
    <w:p>
      <w:pPr>
        <w:pStyle w:val="ListParagraph"/>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pPr>
        <w:pStyle w:val="ListParagraph"/>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pPr>
        <w:pStyle w:val="ListParagraph"/>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pPr>
        <w:pStyle w:val="Heading4"/>
      </w:pPr>
      <w:r>
        <w:t>Kĩ năng mềm</w:t>
      </w:r>
    </w:p>
    <w:p>
      <w:pPr>
        <w:pStyle w:val="ListParagraph"/>
      </w:pPr>
      <w:r>
        <w:t xml:space="preserve">LO8: Kĩ năng giao tiếp: Giao tiếp và thuyết trình tốt thể  hiện qua việc trình bày rõ ràng, tự tin và thuyết phục các vấn đề liên quan đến chuyên môn nghiệp vụ và kinh tế xã hội; </w:t>
      </w:r>
    </w:p>
    <w:p>
      <w:pPr>
        <w:pStyle w:val="ListParagraph"/>
      </w:pPr>
      <w:r>
        <w:t xml:space="preserve">LO9: Kĩ năng làm việc nhóm: biết thành lập và tổ chức tốt công việc theo nhóm; có khả năng hội nhập môi trường quốc tế.  </w:t>
      </w:r>
    </w:p>
    <w:p>
      <w:pPr>
        <w:pStyle w:val="ListParagraph"/>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pPr>
        <w:pStyle w:val="ListParagraph"/>
      </w:pPr>
      <w:r>
        <w:t xml:space="preserve">LO11: Đạt trình độ tiếng Anh 450 điểm TOEIC quốc tế; Có khả năng sử dụng tiếng Anh chuyên ngành để phục vụ công việc, học tập và nghiên cứu;  </w:t>
      </w:r>
    </w:p>
    <w:p>
      <w:pPr>
        <w:pStyle w:val="Heading3"/>
      </w:pPr>
      <w:r>
        <w:t xml:space="preserve">3.3. Chuẩn về Năng lực tự chủ và trách nhiệm  </w:t>
      </w:r>
    </w:p>
    <w:p>
      <w:pPr>
        <w:pStyle w:val="ListParagraph"/>
      </w:pPr>
      <w:r>
        <w:t xml:space="preserve">LO12: Có bản lĩnh chính trị vững vàng; Kiên định đường lối cách mạng và chủ trương, chính sách của Nhà nước; Tuyệt đối trung thành với Tổ quốc và nhân dân; Chấp hành và thượng tôn pháp luật; Có phẩm chất đạo đức, ý thức nghề nghiệp, trách nhiệm với xã hội;  </w:t>
      </w:r>
    </w:p>
    <w:p>
      <w:pPr>
        <w:pStyle w:val="ListParagraph"/>
      </w:pPr>
      <w:r>
        <w:t xml:space="preserve">LO13: Có khả năng thích nghi, tự học và tích lũy kinh nghi ệm để nâng cao trình độ chuyên môn nghiệp vụ; Chủ động và hợp tác trong công việc.  </w:t>
      </w:r>
    </w:p>
    <w:p>
      <w:pPr>
        <w:pStyle w:val="Normal"/>
      </w:pPr>
    </w:p>
    <w:p>
      <w:pPr>
        <w:pStyle w:val="Heading2"/>
      </w:pPr>
      <w:r>
        <w:t xml:space="preserve">4.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5. CHƯƠNG TRÌNH ĐÀO TẠO  </w:t>
      </w:r>
    </w:p>
    <w:p>
      <w:pPr>
        <w:pStyle w:val="Normal"/>
      </w:pPr>
      <w:r>
        <w:t xml:space="preserve">KHỐI LƯỢNG KIẾN THỨC TOÀN KHÓA: 126 tín chỉ  (chưa bao gồm khối lượng kiến thức Giáo dục thể chất, Giáo dục Quốc phòng và Kĩ năng mềm) . </w:t>
      </w:r>
    </w:p>
    <w:p>
      <w:pPr>
        <w:pStyle w:val="Heading3"/>
      </w:pPr>
      <w:r>
        <w:t xml:space="preserve">NỘI DUNG CHƯƠNG TRÌNH  </w:t>
      </w:r>
    </w:p>
    <w:p>
      <w:pPr>
        <w:pStyle w:val="Heading4"/>
      </w:pPr>
      <w:r>
        <w:t xml:space="preserve">5.1. Cấu trúc chương trình  </w:t>
      </w:r>
    </w:p>
    <w:p>
      <w:pPr>
        <w:pStyle w:val="ListParagraph"/>
      </w:pPr>
      <w:r>
        <w:t xml:space="preserve">Kiến thức giáo dục đại cương:  38 tín chỉ </w:t>
      </w:r>
    </w:p>
    <w:p>
      <w:pPr>
        <w:pStyle w:val="ListParagraph"/>
      </w:pPr>
      <w:r>
        <w:t xml:space="preserve">Khối kiến thức chung:  27 tín chỉ </w:t>
      </w:r>
    </w:p>
    <w:p>
      <w:pPr>
        <w:pStyle w:val="ListParagraph"/>
      </w:pPr>
      <w:r>
        <w:t xml:space="preserve">Lý luận chính trị:  11 tín chỉ </w:t>
      </w:r>
    </w:p>
    <w:p>
      <w:pPr>
        <w:pStyle w:val="ListParagraph"/>
      </w:pPr>
      <w:r>
        <w:t>Tiếng Anh: 14 tín chỉ</w:t>
      </w:r>
    </w:p>
    <w:p>
      <w:pPr>
        <w:pStyle w:val="ListParagraph"/>
      </w:pPr>
      <w:r>
        <w:t xml:space="preserve">Tin học:  2 tín chỉ </w:t>
      </w:r>
    </w:p>
    <w:p>
      <w:pPr>
        <w:pStyle w:val="ListParagraph"/>
      </w:pPr>
      <w:r>
        <w:t xml:space="preserve">Khối kiến thức khoa học xã hội:  11 tín chỉ </w:t>
      </w:r>
    </w:p>
    <w:p>
      <w:pPr>
        <w:pStyle w:val="ListParagraph"/>
      </w:pPr>
      <w:r>
        <w:t xml:space="preserve">Kiến thức giáo dục chuyên nghiệp: 78 tín chỉ  </w:t>
      </w:r>
    </w:p>
    <w:p>
      <w:pPr>
        <w:pStyle w:val="ListParagraph"/>
      </w:pPr>
      <w:r>
        <w:t>Kiến thức cơ sở ngành (nhóm ngành và ngành):  46 tín chỉ</w:t>
      </w:r>
    </w:p>
    <w:p>
      <w:pPr>
        <w:pStyle w:val="ListParagraph"/>
      </w:pPr>
      <w:r>
        <w:t>Kiến thức chuyên ngành: 32 tín chỉ</w:t>
      </w:r>
    </w:p>
    <w:p>
      <w:pPr>
        <w:pStyle w:val="ListParagraph"/>
      </w:pPr>
      <w:r>
        <w:t xml:space="preserve">Thực tập và Tốt nghiệp:  10 tín chỉ </w:t>
      </w:r>
    </w:p>
    <w:p>
      <w:pPr>
        <w:pStyle w:val="ListParagraph"/>
      </w:pPr>
      <w:r>
        <w:t>CỘNG:  126 tín chỉ</w:t>
      </w:r>
    </w:p>
    <w:p>
      <w:pPr>
        <w:pStyle w:val="Normal"/>
      </w:pPr>
      <w:r>
        <w:t xml:space="preserve"> </w:t>
      </w:r>
    </w:p>
    <w:p>
      <w:pPr>
        <w:pStyle w:val="Heading4"/>
      </w:pPr>
      <w:r>
        <w:t xml:space="preserve">5.2.  Nội dung chương trình đào tạo  </w:t>
      </w:r>
    </w:p>
    <w:p>
      <w:pPr>
        <w:pStyle w:val="Heading5"/>
      </w:pPr>
      <w:r>
        <w:t xml:space="preserve">5.2.1.  Khối kiến thức chung  </w:t>
      </w:r>
    </w:p>
    <w:p>
      <w:pPr>
        <w:pStyle w:val="Normal"/>
      </w:pPr>
      <w:r>
        <w:t xml:space="preserve">  </w:t>
      </w:r>
    </w:p>
    <w:p>
      <w:pPr>
        <w:pStyle w:val="ListParagraph"/>
      </w:pPr>
      <w:r>
        <w:t xml:space="preserve">Điều kiên để đăng ký học phần tiếng Anh Course 1 trong chương trình là sinh viên phải đạt trình độ tiếng Anh từ 225 điểm theo bài thi TOEIC Placement Test trở lên; các sinh viên chưa đạt mức điểm trên sẽ phải hoàn thành học phần tiếng Anh bổ trợ Course 0 (mã BAS1156). Kế hoạch học tập môn học tiếng Anh thực hiện theo chương trình chi tiết riêng.  </w:t>
      </w:r>
    </w:p>
    <w:p>
      <w:pPr>
        <w:pStyle w:val="Normal"/>
      </w:pPr>
    </w:p>
    <w:p>
      <w:pPr>
        <w:pStyle w:val="Heading5"/>
      </w:pPr>
      <w:r>
        <w:t xml:space="preserve">5.2.2.  Khối kiến thức khoa học xã hội  </w:t>
      </w:r>
    </w:p>
    <w:p>
      <w:pPr>
        <w:pStyle w:val="Normal"/>
      </w:pPr>
    </w:p>
    <w:p>
      <w:pPr>
        <w:pStyle w:val="Normal"/>
      </w:pPr>
    </w:p>
    <w:p>
      <w:pPr>
        <w:pStyle w:val="Heading5"/>
      </w:pPr>
      <w:r>
        <w:t xml:space="preserve">5.2.3.  Khối kiến thức giáo dục chuyên nghiệp  </w:t>
      </w:r>
    </w:p>
    <w:p>
      <w:pPr>
        <w:pStyle w:val="Heading6"/>
      </w:pPr>
      <w:r>
        <w:t xml:space="preserve">5.2.3.1 Kiến thức cơ sở ngành  </w:t>
      </w:r>
    </w:p>
    <w:p>
      <w:pPr>
        <w:pStyle w:val="Normal"/>
      </w:pPr>
      <w:r>
        <w:t xml:space="preserve"> </w:t>
      </w:r>
    </w:p>
    <w:p>
      <w:pPr>
        <w:pStyle w:val="Normal"/>
      </w:pPr>
      <w:r>
        <w:t xml:space="preserve"> </w:t>
      </w:r>
    </w:p>
    <w:p>
      <w:pPr>
        <w:pStyle w:val="Heading6"/>
      </w:pPr>
      <w:r>
        <w:t xml:space="preserve">5.2.3.2 Kiến thức chuyên ngành  </w:t>
      </w:r>
    </w:p>
    <w:p>
      <w:pPr>
        <w:pStyle w:val="Normal"/>
      </w:pPr>
      <w:r>
        <w:t xml:space="preserve"> </w:t>
      </w:r>
    </w:p>
    <w:p>
      <w:pPr>
        <w:pStyle w:val="Normal"/>
      </w:pPr>
    </w:p>
    <w:p>
      <w:pPr>
        <w:pStyle w:val="Heading5"/>
      </w:pPr>
      <w:r>
        <w:t xml:space="preserve">5.2.4 Thực tập tốt nghiệp </w:t>
      </w:r>
    </w:p>
    <w:p>
      <w:pPr>
        <w:pStyle w:val="Normal"/>
      </w:pPr>
      <w:r>
        <w:t xml:space="preserve">Thực tập tốt nghiệp (mã MUL1 5212 ): 4 TC và Khóa luận tốt nghiệp (mã MUL1 5213 ): 6 TC hoặc học phần thay thế tốt nghiệp:  </w:t>
      </w:r>
    </w:p>
    <w:p>
      <w:pPr>
        <w:pStyle w:val="Normal"/>
      </w:pPr>
      <w:r>
        <w:t xml:space="preserve"> </w:t>
      </w:r>
    </w:p>
    <w:p>
      <w:pPr>
        <w:pStyle w:val="Normal"/>
      </w:pPr>
    </w:p>
    <w:p>
      <w:pPr>
        <w:pStyle w:val="Heading2"/>
      </w:pPr>
      <w:r>
        <w:t xml:space="preserve">6.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Normal"/>
      </w:pPr>
    </w:p>
    <w:p>
      <w:pPr>
        <w:pStyle w:val="Heading2"/>
      </w:pPr>
      <w:r>
        <w:t xml:space="preserve">7. VỊ TRÍ LÀM VIỆC SAU KHI TỐT NGHIỆP  </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