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Kĩ năng chuyên môn</w:t>
      </w:r>
    </w:p>
    <w:p>
      <w:pPr>
        <w:pStyle w:val="ListParagraph"/>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pPr>
        <w:pStyle w:val="ListParagraph"/>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pPr>
        <w:pStyle w:val="ListParagraph"/>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