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2. Công khai điều kiện đảm bảo chất lượng đào tạo</w:t>
      </w:r>
    </w:p>
    <w:p>
      <w:pPr>
        <w:pStyle w:val="Heading3"/>
      </w:pPr>
      <w:r>
        <w:t>2.1 Công khai thông tin cơ sở vật chất</w:t>
      </w:r>
    </w:p>
    <w:p>
      <w:pPr>
        <w:pStyle w:val="Normal"/>
      </w:pPr>
      <w:r>
        <w:t>Biểu mẫu 19</w:t>
      </w:r>
    </w:p>
    <w:p>
      <w:pPr>
        <w:pStyle w:val="Heading3"/>
      </w:pPr>
      <w:r>
        <w:t>2.2 Công khai thông tin về đội ngũ giảng viên cơ hữu</w:t>
      </w:r>
    </w:p>
    <w:p>
      <w:pPr>
        <w:pStyle w:val="Normal"/>
      </w:pPr>
      <w:r>
        <w:t>Biểu mẫu 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