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ở mục a) thì thí sinh cần có thêm một trong các điều kiện sau đây </w:t>
      </w:r>
    </w:p>
    <w:p>
      <w:pPr>
        <w:pStyle w:val="Normal"/>
      </w:pPr>
      <w:r>
        <w:t xml:space="preserve">- 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Normal"/>
      </w:pPr>
      <w:r>
        <w:t xml:space="preserve">- 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Normal"/>
      </w:pPr>
      <w:r>
        <w:t xml:space="preserve">- 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Normal"/>
      </w:pPr>
      <w:r>
        <w:t>- 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Phụ lục ĐH16-Chương trình đào tạo  ngành Báo chí  2 các trường THPT trọng điểm quốc gia; Và có kết quả điểm trung bình chung học tập lớp 10, 11, 12  đạt từ 8,0 trở lên và có hạnh kiểm Khá trở lên  (Như danh sách các trường THPT chuyên kèm theo)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