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1. ĐIỀU KIỆN TUYỂN SINH  </w:t>
      </w:r>
    </w:p>
    <w:p>
      <w:pPr>
        <w:pStyle w:val="Heading4"/>
      </w:pPr>
      <w:r>
        <w:t>a) Quy định chung</w:t>
      </w:r>
    </w:p>
    <w:p>
      <w:pPr>
        <w:pStyle w:val="Normal"/>
      </w:pPr>
      <w:r>
        <w:t>- Đối tượng dự tuyển được xác định tại thời điểm xét tuyển (trước khi công bố kết quả xét tuyển chính thức), bao gồm :</w:t>
      </w:r>
    </w:p>
    <w:p>
      <w:pPr>
        <w:pStyle w:val="Normal"/>
      </w:pPr>
      <w:r>
        <w:t xml:space="preserve">+) Người đã được công nhận tốt nghiệp trung học phổ thông (THPT) của Việt Nam hoặc có bằng tốt nghiệp của nước ngoài được công nhận trình độ tương đương ; </w:t>
      </w:r>
    </w:p>
    <w:p>
      <w:pPr>
        <w:pStyle w:val="Normal"/>
      </w:pPr>
      <w:r>
        <w:t xml:space="preserve">+) Người đã có bằng tốt nghiệp trung cấp ngành nghề thuộc cùng nhóm ngành dự tuyển và đã hoàn thành đủ yêu cầu khối lượng kiến thức văn hóa cấp THPT theo quy định của pháp luật . </w:t>
      </w:r>
    </w:p>
    <w:p>
      <w:pPr>
        <w:pStyle w:val="Normal"/>
      </w:pPr>
      <w:r>
        <w:t xml:space="preserve">- Có đủ sức khỏe để học tập theo quy định hiện hành ; </w:t>
      </w:r>
    </w:p>
    <w:p>
      <w:pPr>
        <w:pStyle w:val="Normal"/>
      </w:pPr>
      <w:r>
        <w:t xml:space="preserve">- Có đủ sức khỏe để học tập theo quy định hiện hành ; </w:t>
      </w:r>
    </w:p>
    <w:p>
      <w:pPr>
        <w:pStyle w:val="Heading4"/>
      </w:pPr>
      <w:r>
        <w:t xml:space="preserve">b) Đối với phương thức xét tuyển dựa vào kết quả thi THPT năm 2022  </w:t>
      </w:r>
    </w:p>
    <w:p>
      <w:pPr>
        <w:pStyle w:val="Normal"/>
      </w:pPr>
      <w:r>
        <w:t>Ngoài các yêu cầu theo quy định chung ở mục a)  thì thí sinh phải tham dự kỳ thi tốt nghiệp THPT năm 2022 với các bài thi/môn thi theo tổ hợp xét tuyển tương ứng các ngành của Học viện .</w:t>
      </w:r>
    </w:p>
    <w:p>
      <w:pPr>
        <w:pStyle w:val="Heading4"/>
      </w:pPr>
      <w:r>
        <w:t xml:space="preserve">c) Đối với  phương thức  xét tuyển kết hợp  thì ngoài các yêu cầu theo quy định chung </w:t>
      </w:r>
    </w:p>
    <w:p>
      <w:pPr>
        <w:pStyle w:val="Heading4"/>
      </w:pPr>
      <w:r>
        <w:t xml:space="preserve">ở mục a) thì thí sinh cần có thêm một trong các điều kiện sau đây </w:t>
      </w:r>
    </w:p>
    <w:p>
      <w:pPr>
        <w:pStyle w:val="Normal"/>
      </w:pPr>
      <w:r>
        <w:t xml:space="preserve">- 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pPr>
        <w:pStyle w:val="Normal"/>
      </w:pPr>
      <w:r>
        <w:t xml:space="preserve">- 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pPr>
        <w:pStyle w:val="Normal"/>
      </w:pPr>
      <w:r>
        <w:t xml:space="preserve">- Thí sinh đạt giải Khuyến khích trong kỳ thi chọn học sinh giỏi quốc gia hoặc đã tham gia kỳ thi chọn học sinh giỏi quốc gia hoặc đạt giải Nhấ 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pPr>
        <w:pStyle w:val="Normal"/>
      </w:pPr>
      <w:r>
        <w:t>- Là học sinh chuyên các môn T oán, Lý, Hóa, Tin học của trường THPT chuyên trên phạm vi toàn quốc (các trường THPT chuyên thuộc Tỉnh, Thành phố trực thuộc TW và các trường THPT chuyên thuộc Cơ sở giáo dục đại học)  hoặc  hệ chuyên thuộc Phụ lục ĐH16-Chương trình đào tạo  ngành Báo chí  2 các trường THPT trọng điểm quốc gia; Và có kết quả điểm trung bình chung học tập lớp 10, 11, 12  đạt từ 8,0 trở lên và có hạnh kiểm Khá trở lên  (Như danh sách các trường THPT chuyên kèm theo) .</w:t>
      </w:r>
    </w:p>
    <w:p>
      <w:pPr>
        <w:pStyle w:val="Heading4"/>
      </w:pPr>
      <w:r>
        <w:t xml:space="preserve">d) Đối với  phương thức  xét tuyển dựa vào kết quả bài thi đánh giá năng lực hoặc </w:t>
      </w:r>
    </w:p>
    <w:p>
      <w:pPr>
        <w:pStyle w:val="Heading4"/>
      </w:pPr>
      <w:r>
        <w:t xml:space="preserve">đánh giá tư duy  thì ngoài các yêu cầu theo quy định chung ở mục a) thì thí sinh cần có </w:t>
      </w:r>
    </w:p>
    <w:p>
      <w:pPr>
        <w:pStyle w:val="Heading4"/>
      </w:pPr>
      <w:r>
        <w:t xml:space="preserve">thêm một trong các điều kiện sau đây  </w:t>
      </w:r>
    </w:p>
    <w:p>
      <w:pPr>
        <w:pStyle w:val="Normal"/>
      </w:pPr>
      <w:r>
        <w:t xml:space="preserve">- Thí sinh có điểm thi đánh giá năng lực của Đại học quốc gia Hà Nội năm 2022 từ </w:t>
      </w:r>
    </w:p>
    <w:p>
      <w:pPr>
        <w:pStyle w:val="Normal"/>
      </w:pPr>
      <w:r>
        <w:t xml:space="preserve">80 điểm trở lên ; </w:t>
      </w:r>
    </w:p>
    <w:p>
      <w:pPr>
        <w:pStyle w:val="Normal"/>
      </w:pPr>
      <w:r>
        <w:t xml:space="preserve">- Thí sinh có điểm thi đánh giá năng lực của Đại học  quốc gia Tp. Hồ Chí Minh năm </w:t>
      </w:r>
    </w:p>
    <w:p>
      <w:pPr>
        <w:pStyle w:val="Normal"/>
      </w:pPr>
      <w:r>
        <w:t xml:space="preserve">2022 từ 700 điểm trở lên ; </w:t>
      </w:r>
    </w:p>
    <w:p>
      <w:pPr>
        <w:pStyle w:val="Normal"/>
      </w:pPr>
      <w:r>
        <w:t xml:space="preserve">- Thí sinh có điểm thi đánh giá tư duy của Đại học Bách khoa Hà Nội năm 2022 từ </w:t>
      </w:r>
    </w:p>
    <w:p>
      <w:pPr>
        <w:pStyle w:val="Normal"/>
      </w:pPr>
      <w:r>
        <w:t xml:space="preserve">20 điểm trở lên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