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4.2.3.  Khối kiến thức giáo dục chuyên nghiệp  </w:t>
      </w:r>
    </w:p>
    <w:p>
      <w:pPr>
        <w:pStyle w:val="Heading6"/>
      </w:pPr>
      <w:r>
        <w:t xml:space="preserve">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Thực tập tốt nghiệp - mã MUL14200 (4 TC) và Khóa luận tốt nghiệp – mã MUL14201 (6 TC) hoặc học phần thay thế tốt nghiệp: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