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4.2.  Nội dung chương trình đào tạo  </w:t>
      </w:r>
    </w:p>
    <w:p>
      <w:pPr>
        <w:pStyle w:val="Heading5"/>
      </w:pPr>
      <w:r>
        <w:t xml:space="preserve">4.2.1.   Khối kiến thức chung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 Điều kiên để đăng ký học phần tiếng Anh Course 1 trong chương trình là sinh viên phải đạt trình độ tiếng Anh từ 225 điểm theo bài thi TOEIC Placement Test trở lên; các sinh viên chưa đạt mức điểm trên sẽ phải hoàn thành học phần tiếng Anh bổ trợ Course 0 (mã BAS1156). Kế hoạch học tập môn học tiếng Anh thực hiện theo chương trình chi tiết riêng.   </w:t>
      </w:r>
    </w:p>
    <w:p>
      <w:pPr>
        <w:pStyle w:val="Heading5"/>
      </w:pPr>
      <w:r>
        <w:t xml:space="preserve">4.2.2.  Khối kiến thức khoa học xã hội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4.2.3.  Khối kiến thức giáo dục chuyên nghiệp  </w:t>
      </w:r>
    </w:p>
    <w:p>
      <w:pPr>
        <w:pStyle w:val="Heading6"/>
      </w:pPr>
      <w:r>
        <w:t xml:space="preserve">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Thực tập tốt nghiệp - mã MUL14200 (4 TC) và Khóa luận tốt nghiệp – mã MUL14201 (6 TC) hoặc học phần thay thế tốt nghiệp: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