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129 tín chỉ 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Heading4"/>
      </w:pPr>
      <w:r>
        <w:t xml:space="preserve">4.1.  Cấu trúc chương trình đào tạo  </w:t>
      </w:r>
    </w:p>
    <w:p>
      <w:pPr>
        <w:pStyle w:val="Heading4"/>
      </w:pPr>
      <w:r>
        <w:t xml:space="preserve">4.2.  Nội dung chương trình đào tạo  </w:t>
      </w:r>
    </w:p>
    <w:p>
      <w:pPr>
        <w:pStyle w:val="Heading5"/>
      </w:pPr>
      <w:r>
        <w:t xml:space="preserve">4.2.1.   Khối kiến thức chung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 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 </w:t>
      </w:r>
    </w:p>
    <w:p>
      <w:pPr>
        <w:pStyle w:val="Heading5"/>
      </w:pPr>
      <w:r>
        <w:t xml:space="preserve">4.2.2.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4.2.3.  Khối kiến thức giáo dục chuyên nghiệp  </w:t>
      </w:r>
    </w:p>
    <w:p>
      <w:pPr>
        <w:pStyle w:val="Heading6"/>
      </w:pPr>
      <w:r>
        <w:t xml:space="preserve">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Thực tập tốt nghiệp - mã MUL14200 (4 TC) và Khóa luận tốt nghiệp – mã MUL14201 (6 TC) hoặc học phần thay thế tốt nghiệp: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