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4.2.3.2. Kiến thức chuyên ngành (Professional Educational Knowledge)  </w:t>
      </w:r>
    </w:p>
    <w:p>
      <w:pPr>
        <w:pStyle w:val="Heading8"/>
      </w:pPr>
      <w:r>
        <w:t xml:space="preserve">Chuyên ngành Công nghệ phần mềm (Software Engineering)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>Chuyên ngành Trí tuệ nhân tạo (Artificial Intelligence)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>Chuyên ngành Hệ thống thông tin (Information Systems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